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EF" w:rsidRDefault="009C14C4" w:rsidP="004B54EF">
      <w:pPr>
        <w:spacing w:after="0" w:line="240" w:lineRule="auto"/>
        <w:jc w:val="center"/>
        <w:outlineLvl w:val="0"/>
        <w:rPr>
          <w:rFonts w:eastAsia="Times New Roman" w:cs="Times New Roman"/>
          <w:b/>
          <w:bCs/>
          <w:kern w:val="36"/>
          <w:sz w:val="32"/>
          <w:szCs w:val="32"/>
          <w:lang w:val="en"/>
        </w:rPr>
      </w:pPr>
      <w:r>
        <w:rPr>
          <w:noProof/>
        </w:rPr>
        <w:drawing>
          <wp:anchor distT="0" distB="0" distL="114300" distR="114300" simplePos="0" relativeHeight="251660288" behindDoc="0" locked="0" layoutInCell="1" allowOverlap="1" wp14:anchorId="59787691" wp14:editId="7D697F06">
            <wp:simplePos x="0" y="0"/>
            <wp:positionH relativeFrom="column">
              <wp:posOffset>4876800</wp:posOffset>
            </wp:positionH>
            <wp:positionV relativeFrom="paragraph">
              <wp:posOffset>-257810</wp:posOffset>
            </wp:positionV>
            <wp:extent cx="1159510" cy="1381125"/>
            <wp:effectExtent l="0" t="0" r="2540" b="9525"/>
            <wp:wrapSquare wrapText="bothSides"/>
            <wp:docPr id="5" name="Picture 5" descr="US-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W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41A8F61" wp14:editId="19FB51A9">
            <wp:simplePos x="0" y="0"/>
            <wp:positionH relativeFrom="column">
              <wp:posOffset>-438785</wp:posOffset>
            </wp:positionH>
            <wp:positionV relativeFrom="paragraph">
              <wp:posOffset>-57785</wp:posOffset>
            </wp:positionV>
            <wp:extent cx="1876425" cy="1297305"/>
            <wp:effectExtent l="0" t="0" r="9525" b="0"/>
            <wp:wrapSquare wrapText="bothSides"/>
            <wp:docPr id="4" name="Picture 4"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97305"/>
                    </a:xfrm>
                    <a:prstGeom prst="rect">
                      <a:avLst/>
                    </a:prstGeom>
                    <a:noFill/>
                  </pic:spPr>
                </pic:pic>
              </a:graphicData>
            </a:graphic>
            <wp14:sizeRelH relativeFrom="page">
              <wp14:pctWidth>0</wp14:pctWidth>
            </wp14:sizeRelH>
            <wp14:sizeRelV relativeFrom="page">
              <wp14:pctHeight>0</wp14:pctHeight>
            </wp14:sizeRelV>
          </wp:anchor>
        </w:drawing>
      </w:r>
    </w:p>
    <w:p w:rsidR="004B54EF" w:rsidRDefault="004B54EF" w:rsidP="004B54EF">
      <w:pPr>
        <w:spacing w:after="0" w:line="240" w:lineRule="auto"/>
        <w:jc w:val="center"/>
        <w:outlineLvl w:val="0"/>
        <w:rPr>
          <w:rFonts w:eastAsia="Times New Roman" w:cs="Times New Roman"/>
          <w:b/>
          <w:bCs/>
          <w:kern w:val="36"/>
          <w:sz w:val="32"/>
          <w:szCs w:val="32"/>
          <w:lang w:val="en"/>
        </w:rPr>
      </w:pPr>
    </w:p>
    <w:p w:rsidR="004B54EF" w:rsidRDefault="004B54EF" w:rsidP="004B54EF">
      <w:pPr>
        <w:spacing w:after="0" w:line="240" w:lineRule="auto"/>
        <w:jc w:val="center"/>
        <w:outlineLvl w:val="0"/>
        <w:rPr>
          <w:rFonts w:ascii="Arial" w:eastAsia="Times New Roman" w:hAnsi="Arial" w:cs="Arial"/>
          <w:b/>
          <w:bCs/>
          <w:kern w:val="36"/>
          <w:sz w:val="32"/>
          <w:szCs w:val="32"/>
          <w:lang w:val="en"/>
        </w:rPr>
      </w:pPr>
      <w:r>
        <w:rPr>
          <w:rFonts w:ascii="Arial" w:eastAsia="Times New Roman" w:hAnsi="Arial" w:cs="Arial"/>
          <w:b/>
          <w:bCs/>
          <w:kern w:val="36"/>
          <w:sz w:val="28"/>
          <w:szCs w:val="32"/>
          <w:lang w:val="en"/>
        </w:rPr>
        <w:t>Connecticut River Watershed Landscape Conservation Design Pilot</w:t>
      </w:r>
    </w:p>
    <w:p w:rsidR="004B54EF" w:rsidRDefault="004B54EF">
      <w:pPr>
        <w:rPr>
          <w:sz w:val="26"/>
          <w:szCs w:val="26"/>
        </w:rPr>
      </w:pPr>
    </w:p>
    <w:tbl>
      <w:tblPr>
        <w:tblStyle w:val="TableGrid"/>
        <w:tblW w:w="9648" w:type="dxa"/>
        <w:tblLook w:val="04A0" w:firstRow="1" w:lastRow="0" w:firstColumn="1" w:lastColumn="0" w:noHBand="0" w:noVBand="1"/>
      </w:tblPr>
      <w:tblGrid>
        <w:gridCol w:w="1818"/>
        <w:gridCol w:w="7830"/>
      </w:tblGrid>
      <w:tr w:rsidR="00D314F8" w:rsidRPr="002D6E58" w:rsidTr="001343EC">
        <w:tc>
          <w:tcPr>
            <w:tcW w:w="1818" w:type="dxa"/>
          </w:tcPr>
          <w:p w:rsidR="00D314F8" w:rsidRPr="002D6E58" w:rsidRDefault="00D314F8">
            <w:pPr>
              <w:rPr>
                <w:sz w:val="26"/>
                <w:szCs w:val="26"/>
              </w:rPr>
            </w:pPr>
            <w:r w:rsidRPr="002D6E58">
              <w:rPr>
                <w:sz w:val="26"/>
                <w:szCs w:val="26"/>
              </w:rPr>
              <w:t>Project Name</w:t>
            </w:r>
          </w:p>
        </w:tc>
        <w:tc>
          <w:tcPr>
            <w:tcW w:w="7830" w:type="dxa"/>
          </w:tcPr>
          <w:p w:rsidR="00D314F8" w:rsidRPr="000A34E9" w:rsidRDefault="00CB23FC" w:rsidP="00192422">
            <w:pPr>
              <w:rPr>
                <w:b/>
                <w:i/>
                <w:sz w:val="26"/>
                <w:szCs w:val="26"/>
              </w:rPr>
            </w:pPr>
            <w:r w:rsidRPr="000A34E9">
              <w:rPr>
                <w:b/>
                <w:i/>
                <w:sz w:val="26"/>
                <w:szCs w:val="26"/>
              </w:rPr>
              <w:t xml:space="preserve">Designing Sustainable Landscapes – Landscape Capability </w:t>
            </w:r>
            <w:r w:rsidR="00192422" w:rsidRPr="000A34E9">
              <w:rPr>
                <w:b/>
                <w:i/>
                <w:sz w:val="26"/>
                <w:szCs w:val="26"/>
              </w:rPr>
              <w:t>Datasets</w:t>
            </w:r>
            <w:r w:rsidRPr="000A34E9">
              <w:rPr>
                <w:b/>
                <w:i/>
                <w:sz w:val="26"/>
                <w:szCs w:val="26"/>
              </w:rPr>
              <w:t xml:space="preserve"> for Representative Species of Wildlife</w:t>
            </w:r>
          </w:p>
        </w:tc>
      </w:tr>
      <w:tr w:rsidR="000C4872" w:rsidRPr="002D6E58" w:rsidTr="001343EC">
        <w:tc>
          <w:tcPr>
            <w:tcW w:w="1818" w:type="dxa"/>
          </w:tcPr>
          <w:p w:rsidR="000C4872" w:rsidRPr="002D6E58" w:rsidRDefault="000C4872">
            <w:pPr>
              <w:rPr>
                <w:sz w:val="26"/>
                <w:szCs w:val="26"/>
              </w:rPr>
            </w:pPr>
            <w:r w:rsidRPr="002D6E58">
              <w:rPr>
                <w:sz w:val="26"/>
                <w:szCs w:val="26"/>
              </w:rPr>
              <w:t>Product Type</w:t>
            </w:r>
          </w:p>
        </w:tc>
        <w:tc>
          <w:tcPr>
            <w:tcW w:w="7830" w:type="dxa"/>
          </w:tcPr>
          <w:p w:rsidR="000C4872" w:rsidRPr="002D6E58" w:rsidRDefault="00713052" w:rsidP="00713052">
            <w:pPr>
              <w:rPr>
                <w:sz w:val="26"/>
                <w:szCs w:val="26"/>
              </w:rPr>
            </w:pPr>
            <w:r>
              <w:rPr>
                <w:sz w:val="26"/>
                <w:szCs w:val="26"/>
              </w:rPr>
              <w:t>GIS d</w:t>
            </w:r>
            <w:r w:rsidR="00192422">
              <w:rPr>
                <w:sz w:val="26"/>
                <w:szCs w:val="26"/>
              </w:rPr>
              <w:t>atasets</w:t>
            </w:r>
            <w:r>
              <w:rPr>
                <w:sz w:val="26"/>
                <w:szCs w:val="26"/>
              </w:rPr>
              <w:t xml:space="preserve"> </w:t>
            </w:r>
            <w:r w:rsidR="00192422">
              <w:rPr>
                <w:sz w:val="26"/>
                <w:szCs w:val="26"/>
              </w:rPr>
              <w:t>that depict the capability of habita</w:t>
            </w:r>
            <w:r>
              <w:rPr>
                <w:sz w:val="26"/>
                <w:szCs w:val="26"/>
              </w:rPr>
              <w:t>ts across the northeastern U.S.</w:t>
            </w:r>
            <w:r w:rsidR="006B5437">
              <w:rPr>
                <w:sz w:val="26"/>
                <w:szCs w:val="26"/>
              </w:rPr>
              <w:t xml:space="preserve"> </w:t>
            </w:r>
            <w:r>
              <w:rPr>
                <w:sz w:val="26"/>
                <w:szCs w:val="26"/>
              </w:rPr>
              <w:t xml:space="preserve">to support a set of representative wildlife species </w:t>
            </w:r>
          </w:p>
        </w:tc>
      </w:tr>
      <w:tr w:rsidR="00D314F8" w:rsidRPr="002D6E58" w:rsidTr="001343EC">
        <w:tc>
          <w:tcPr>
            <w:tcW w:w="1818" w:type="dxa"/>
          </w:tcPr>
          <w:p w:rsidR="00D314F8" w:rsidRPr="002D6E58" w:rsidRDefault="000C4872">
            <w:pPr>
              <w:rPr>
                <w:sz w:val="26"/>
                <w:szCs w:val="26"/>
              </w:rPr>
            </w:pPr>
            <w:r w:rsidRPr="002D6E58">
              <w:rPr>
                <w:sz w:val="26"/>
                <w:szCs w:val="26"/>
              </w:rPr>
              <w:t xml:space="preserve">Product </w:t>
            </w:r>
            <w:r w:rsidR="00D314F8" w:rsidRPr="002D6E58">
              <w:rPr>
                <w:sz w:val="26"/>
                <w:szCs w:val="26"/>
              </w:rPr>
              <w:t>Description</w:t>
            </w:r>
          </w:p>
        </w:tc>
        <w:tc>
          <w:tcPr>
            <w:tcW w:w="7830" w:type="dxa"/>
          </w:tcPr>
          <w:p w:rsidR="00713052" w:rsidRDefault="00713052" w:rsidP="00311013">
            <w:pPr>
              <w:rPr>
                <w:sz w:val="26"/>
                <w:szCs w:val="26"/>
              </w:rPr>
            </w:pPr>
            <w:r>
              <w:rPr>
                <w:sz w:val="26"/>
                <w:szCs w:val="26"/>
              </w:rPr>
              <w:t>The</w:t>
            </w:r>
            <w:r w:rsidRPr="00713052">
              <w:rPr>
                <w:sz w:val="26"/>
                <w:szCs w:val="26"/>
              </w:rPr>
              <w:t xml:space="preserve"> dataset</w:t>
            </w:r>
            <w:r>
              <w:rPr>
                <w:sz w:val="26"/>
                <w:szCs w:val="26"/>
              </w:rPr>
              <w:t>s depict</w:t>
            </w:r>
            <w:r w:rsidRPr="00713052">
              <w:rPr>
                <w:sz w:val="26"/>
                <w:szCs w:val="26"/>
              </w:rPr>
              <w:t xml:space="preserve"> the potential capability o</w:t>
            </w:r>
            <w:r>
              <w:rPr>
                <w:sz w:val="26"/>
                <w:szCs w:val="26"/>
              </w:rPr>
              <w:t>f the landscape throughout the n</w:t>
            </w:r>
            <w:r w:rsidRPr="00713052">
              <w:rPr>
                <w:sz w:val="26"/>
                <w:szCs w:val="26"/>
              </w:rPr>
              <w:t>ortheastern United States to provide habitat for</w:t>
            </w:r>
            <w:r>
              <w:rPr>
                <w:sz w:val="26"/>
                <w:szCs w:val="26"/>
              </w:rPr>
              <w:t xml:space="preserve"> a set of representative wildlife species based on both current conditions and scenarios of potential future conditions. Future conditions include scenarios of future clim</w:t>
            </w:r>
            <w:bookmarkStart w:id="0" w:name="_GoBack"/>
            <w:bookmarkEnd w:id="0"/>
            <w:r>
              <w:rPr>
                <w:sz w:val="26"/>
                <w:szCs w:val="26"/>
              </w:rPr>
              <w:t xml:space="preserve">ate, urban growth (development), and forest change. The products include datasets that depict areas where the </w:t>
            </w:r>
            <w:r w:rsidR="009C14C4">
              <w:rPr>
                <w:sz w:val="26"/>
                <w:szCs w:val="26"/>
              </w:rPr>
              <w:t xml:space="preserve">distribution of the </w:t>
            </w:r>
            <w:r>
              <w:rPr>
                <w:sz w:val="26"/>
                <w:szCs w:val="26"/>
              </w:rPr>
              <w:t xml:space="preserve">species </w:t>
            </w:r>
            <w:r w:rsidR="009C14C4">
              <w:rPr>
                <w:sz w:val="26"/>
                <w:szCs w:val="26"/>
              </w:rPr>
              <w:t>may</w:t>
            </w:r>
            <w:r>
              <w:rPr>
                <w:sz w:val="26"/>
                <w:szCs w:val="26"/>
              </w:rPr>
              <w:t xml:space="preserve"> </w:t>
            </w:r>
            <w:r w:rsidR="009C14C4">
              <w:rPr>
                <w:sz w:val="26"/>
                <w:szCs w:val="26"/>
              </w:rPr>
              <w:t>expand, contract, or persist due to future landscape change.</w:t>
            </w:r>
          </w:p>
          <w:p w:rsidR="00713052" w:rsidRDefault="00713052" w:rsidP="00311013">
            <w:pPr>
              <w:rPr>
                <w:sz w:val="26"/>
                <w:szCs w:val="26"/>
              </w:rPr>
            </w:pPr>
          </w:p>
          <w:p w:rsidR="00F0659A" w:rsidRDefault="00713052" w:rsidP="00311013">
            <w:pPr>
              <w:rPr>
                <w:sz w:val="26"/>
                <w:szCs w:val="26"/>
              </w:rPr>
            </w:pPr>
            <w:r>
              <w:rPr>
                <w:sz w:val="26"/>
                <w:szCs w:val="26"/>
              </w:rPr>
              <w:t xml:space="preserve">The species were selected to represent a broad set of wildlife and associated ecosystems that collectively encompass a majority of the terrestrial, wetland, and coastal ecosystems of the Northeast. </w:t>
            </w:r>
            <w:r w:rsidR="009C14C4">
              <w:rPr>
                <w:sz w:val="26"/>
                <w:szCs w:val="26"/>
              </w:rPr>
              <w:t>30 species models will be completed by June 2014. Species being assessed include birds (such as Ruffed Grouse and Wood Duck), mammals (including Black Bear and Moose), and reptiles (such as Eastern Box Turtle and Diamond-backed Terrapin).</w:t>
            </w:r>
          </w:p>
          <w:p w:rsidR="009C14C4" w:rsidRDefault="009C14C4" w:rsidP="00311013">
            <w:pPr>
              <w:rPr>
                <w:sz w:val="26"/>
                <w:szCs w:val="26"/>
              </w:rPr>
            </w:pPr>
          </w:p>
          <w:p w:rsidR="009C14C4" w:rsidRDefault="00AD7620" w:rsidP="00311013">
            <w:pPr>
              <w:rPr>
                <w:sz w:val="26"/>
                <w:szCs w:val="26"/>
              </w:rPr>
            </w:pPr>
            <w:r>
              <w:rPr>
                <w:sz w:val="26"/>
                <w:szCs w:val="26"/>
              </w:rPr>
              <w:t xml:space="preserve">When field </w:t>
            </w:r>
            <w:r w:rsidR="009C14C4">
              <w:rPr>
                <w:sz w:val="26"/>
                <w:szCs w:val="26"/>
              </w:rPr>
              <w:t>survey data are available</w:t>
            </w:r>
            <w:r>
              <w:rPr>
                <w:sz w:val="26"/>
                <w:szCs w:val="26"/>
              </w:rPr>
              <w:t xml:space="preserve"> for the species</w:t>
            </w:r>
            <w:r w:rsidR="009C14C4">
              <w:rPr>
                <w:sz w:val="26"/>
                <w:szCs w:val="26"/>
              </w:rPr>
              <w:t>, the landscape capability datasets represent the integration of three models:</w:t>
            </w:r>
          </w:p>
          <w:p w:rsidR="009C14C4" w:rsidRDefault="009C14C4" w:rsidP="009C14C4">
            <w:pPr>
              <w:pStyle w:val="ListParagraph"/>
              <w:numPr>
                <w:ilvl w:val="0"/>
                <w:numId w:val="5"/>
              </w:numPr>
              <w:rPr>
                <w:sz w:val="26"/>
                <w:szCs w:val="26"/>
              </w:rPr>
            </w:pPr>
            <w:r>
              <w:rPr>
                <w:sz w:val="26"/>
                <w:szCs w:val="26"/>
              </w:rPr>
              <w:t>A habitat capability model that reflects the quantity, quality, and accessibility of habitat across the landscape.</w:t>
            </w:r>
          </w:p>
          <w:p w:rsidR="009C14C4" w:rsidRDefault="009C14C4" w:rsidP="009C14C4">
            <w:pPr>
              <w:pStyle w:val="ListParagraph"/>
              <w:numPr>
                <w:ilvl w:val="0"/>
                <w:numId w:val="5"/>
              </w:numPr>
              <w:rPr>
                <w:sz w:val="26"/>
                <w:szCs w:val="26"/>
              </w:rPr>
            </w:pPr>
            <w:r>
              <w:rPr>
                <w:sz w:val="26"/>
                <w:szCs w:val="26"/>
              </w:rPr>
              <w:t>A climate niche model based on analysis of climate conditions most suitable for the species (</w:t>
            </w:r>
            <w:r w:rsidR="00AD7620">
              <w:rPr>
                <w:sz w:val="26"/>
                <w:szCs w:val="26"/>
              </w:rPr>
              <w:t>incor</w:t>
            </w:r>
            <w:r>
              <w:rPr>
                <w:sz w:val="26"/>
                <w:szCs w:val="26"/>
              </w:rPr>
              <w:t>porates survey data)</w:t>
            </w:r>
          </w:p>
          <w:p w:rsidR="009C14C4" w:rsidRPr="009C14C4" w:rsidRDefault="009C14C4" w:rsidP="00AD7620">
            <w:pPr>
              <w:pStyle w:val="ListParagraph"/>
              <w:numPr>
                <w:ilvl w:val="0"/>
                <w:numId w:val="5"/>
              </w:numPr>
              <w:rPr>
                <w:sz w:val="26"/>
                <w:szCs w:val="26"/>
              </w:rPr>
            </w:pPr>
            <w:r>
              <w:rPr>
                <w:sz w:val="26"/>
                <w:szCs w:val="26"/>
              </w:rPr>
              <w:t xml:space="preserve">A prevalence model that reflects </w:t>
            </w:r>
            <w:r w:rsidR="00AD7620">
              <w:rPr>
                <w:sz w:val="26"/>
                <w:szCs w:val="26"/>
              </w:rPr>
              <w:t xml:space="preserve">broad biogeographic factors about where the </w:t>
            </w:r>
            <w:r>
              <w:rPr>
                <w:sz w:val="26"/>
                <w:szCs w:val="26"/>
              </w:rPr>
              <w:t>species occur</w:t>
            </w:r>
            <w:r w:rsidR="00AD7620">
              <w:rPr>
                <w:sz w:val="26"/>
                <w:szCs w:val="26"/>
              </w:rPr>
              <w:t xml:space="preserve"> (incorporates survey data)</w:t>
            </w:r>
          </w:p>
        </w:tc>
      </w:tr>
      <w:tr w:rsidR="00D314F8" w:rsidRPr="002D6E58" w:rsidTr="001343EC">
        <w:tc>
          <w:tcPr>
            <w:tcW w:w="1818" w:type="dxa"/>
          </w:tcPr>
          <w:p w:rsidR="00D314F8" w:rsidRPr="002D6E58" w:rsidRDefault="00CE49FC" w:rsidP="00CE49FC">
            <w:pPr>
              <w:rPr>
                <w:sz w:val="26"/>
                <w:szCs w:val="26"/>
              </w:rPr>
            </w:pPr>
            <w:r w:rsidRPr="002D6E58">
              <w:rPr>
                <w:sz w:val="26"/>
                <w:szCs w:val="26"/>
              </w:rPr>
              <w:t>Geographic Extent and  data scale</w:t>
            </w:r>
          </w:p>
        </w:tc>
        <w:tc>
          <w:tcPr>
            <w:tcW w:w="7830" w:type="dxa"/>
          </w:tcPr>
          <w:p w:rsidR="00D314F8" w:rsidRPr="002D6E58" w:rsidRDefault="00713052" w:rsidP="00713052">
            <w:pPr>
              <w:rPr>
                <w:sz w:val="26"/>
                <w:szCs w:val="26"/>
              </w:rPr>
            </w:pPr>
            <w:r>
              <w:rPr>
                <w:sz w:val="26"/>
                <w:szCs w:val="26"/>
              </w:rPr>
              <w:t>The geographic extent is</w:t>
            </w:r>
            <w:r w:rsidR="00F36DF9" w:rsidRPr="00F36DF9">
              <w:rPr>
                <w:sz w:val="26"/>
                <w:szCs w:val="26"/>
              </w:rPr>
              <w:t xml:space="preserve"> </w:t>
            </w:r>
            <w:r>
              <w:rPr>
                <w:sz w:val="26"/>
                <w:szCs w:val="26"/>
              </w:rPr>
              <w:t xml:space="preserve">the </w:t>
            </w:r>
            <w:r w:rsidR="000C6637">
              <w:rPr>
                <w:sz w:val="26"/>
                <w:szCs w:val="26"/>
              </w:rPr>
              <w:t xml:space="preserve">region covered by the </w:t>
            </w:r>
            <w:r w:rsidR="000C6637" w:rsidRPr="000C6637">
              <w:rPr>
                <w:sz w:val="26"/>
                <w:szCs w:val="26"/>
              </w:rPr>
              <w:t>thirteen northeastern states</w:t>
            </w:r>
            <w:r>
              <w:rPr>
                <w:sz w:val="26"/>
                <w:szCs w:val="26"/>
              </w:rPr>
              <w:t>. The resolution is 30 m cells.</w:t>
            </w:r>
          </w:p>
        </w:tc>
      </w:tr>
      <w:tr w:rsidR="00D314F8" w:rsidRPr="002D6E58" w:rsidTr="001343EC">
        <w:tc>
          <w:tcPr>
            <w:tcW w:w="1818" w:type="dxa"/>
          </w:tcPr>
          <w:p w:rsidR="00D314F8" w:rsidRPr="002D6E58" w:rsidRDefault="00D314F8">
            <w:pPr>
              <w:rPr>
                <w:sz w:val="26"/>
                <w:szCs w:val="26"/>
              </w:rPr>
            </w:pPr>
            <w:r w:rsidRPr="002D6E58">
              <w:rPr>
                <w:sz w:val="26"/>
                <w:szCs w:val="26"/>
              </w:rPr>
              <w:t>Developer</w:t>
            </w:r>
          </w:p>
        </w:tc>
        <w:tc>
          <w:tcPr>
            <w:tcW w:w="7830" w:type="dxa"/>
          </w:tcPr>
          <w:p w:rsidR="00D314F8" w:rsidRDefault="009C14C4" w:rsidP="00D45278">
            <w:pPr>
              <w:rPr>
                <w:sz w:val="26"/>
                <w:szCs w:val="26"/>
              </w:rPr>
            </w:pPr>
            <w:r>
              <w:rPr>
                <w:sz w:val="26"/>
                <w:szCs w:val="26"/>
              </w:rPr>
              <w:t>Department of Environmental Conservation</w:t>
            </w:r>
          </w:p>
          <w:p w:rsidR="009C14C4" w:rsidRPr="002D6E58" w:rsidRDefault="009C14C4" w:rsidP="00D45278">
            <w:pPr>
              <w:rPr>
                <w:sz w:val="26"/>
                <w:szCs w:val="26"/>
              </w:rPr>
            </w:pPr>
            <w:r>
              <w:rPr>
                <w:sz w:val="26"/>
                <w:szCs w:val="26"/>
              </w:rPr>
              <w:t>University of Massachusetts Amherst</w:t>
            </w:r>
          </w:p>
        </w:tc>
      </w:tr>
      <w:tr w:rsidR="00D314F8" w:rsidRPr="002D6E58" w:rsidTr="001343EC">
        <w:tc>
          <w:tcPr>
            <w:tcW w:w="1818" w:type="dxa"/>
          </w:tcPr>
          <w:p w:rsidR="00D314F8" w:rsidRPr="002D6E58" w:rsidRDefault="00D314F8">
            <w:pPr>
              <w:rPr>
                <w:sz w:val="26"/>
                <w:szCs w:val="26"/>
              </w:rPr>
            </w:pPr>
            <w:r w:rsidRPr="002D6E58">
              <w:rPr>
                <w:sz w:val="26"/>
                <w:szCs w:val="26"/>
              </w:rPr>
              <w:t>Contact</w:t>
            </w:r>
          </w:p>
        </w:tc>
        <w:tc>
          <w:tcPr>
            <w:tcW w:w="7830" w:type="dxa"/>
          </w:tcPr>
          <w:p w:rsidR="00D314F8" w:rsidRPr="002D6E58" w:rsidRDefault="009C14C4" w:rsidP="00D45278">
            <w:pPr>
              <w:rPr>
                <w:sz w:val="26"/>
                <w:szCs w:val="26"/>
              </w:rPr>
            </w:pPr>
            <w:r>
              <w:rPr>
                <w:sz w:val="26"/>
                <w:szCs w:val="26"/>
              </w:rPr>
              <w:t>Professor Kevin McGarigal</w:t>
            </w:r>
          </w:p>
        </w:tc>
      </w:tr>
      <w:tr w:rsidR="00D314F8" w:rsidRPr="002D6E58" w:rsidTr="001343EC">
        <w:tc>
          <w:tcPr>
            <w:tcW w:w="1818" w:type="dxa"/>
          </w:tcPr>
          <w:p w:rsidR="00D314F8" w:rsidRPr="002D6E58" w:rsidRDefault="00D314F8" w:rsidP="001343EC">
            <w:pPr>
              <w:rPr>
                <w:sz w:val="26"/>
                <w:szCs w:val="26"/>
              </w:rPr>
            </w:pPr>
            <w:r w:rsidRPr="002D6E58">
              <w:rPr>
                <w:sz w:val="26"/>
                <w:szCs w:val="26"/>
              </w:rPr>
              <w:t xml:space="preserve">Completion </w:t>
            </w:r>
          </w:p>
        </w:tc>
        <w:tc>
          <w:tcPr>
            <w:tcW w:w="7830" w:type="dxa"/>
          </w:tcPr>
          <w:p w:rsidR="00D314F8" w:rsidRPr="002D6E58" w:rsidRDefault="009C14C4">
            <w:pPr>
              <w:rPr>
                <w:sz w:val="26"/>
                <w:szCs w:val="26"/>
              </w:rPr>
            </w:pPr>
            <w:r>
              <w:rPr>
                <w:sz w:val="26"/>
                <w:szCs w:val="26"/>
              </w:rPr>
              <w:t>2014</w:t>
            </w:r>
          </w:p>
        </w:tc>
      </w:tr>
    </w:tbl>
    <w:p w:rsidR="00E54D6F" w:rsidRDefault="00E54D6F">
      <w:pPr>
        <w:rPr>
          <w:noProof/>
          <w:sz w:val="26"/>
          <w:szCs w:val="26"/>
        </w:rPr>
      </w:pPr>
    </w:p>
    <w:p w:rsidR="00E54D6F" w:rsidRDefault="00AD7620">
      <w:pPr>
        <w:rPr>
          <w:noProof/>
          <w:sz w:val="26"/>
          <w:szCs w:val="26"/>
        </w:rPr>
      </w:pPr>
      <w:r>
        <w:rPr>
          <w:noProof/>
          <w:sz w:val="26"/>
          <w:szCs w:val="26"/>
        </w:rPr>
        <w:lastRenderedPageBreak/>
        <w:t>Example landscape capability dataset: Wood Thrush, circa 2010 conditions</w:t>
      </w:r>
    </w:p>
    <w:p w:rsidR="00AD7620" w:rsidRDefault="00AD7620">
      <w:pPr>
        <w:rPr>
          <w:noProof/>
          <w:sz w:val="26"/>
          <w:szCs w:val="26"/>
        </w:rPr>
      </w:pPr>
      <w:r w:rsidRPr="00AD7620">
        <w:rPr>
          <w:noProof/>
          <w:sz w:val="26"/>
          <w:szCs w:val="26"/>
        </w:rPr>
        <w:drawing>
          <wp:anchor distT="0" distB="0" distL="114300" distR="114300" simplePos="0" relativeHeight="251662336" behindDoc="1" locked="0" layoutInCell="1" allowOverlap="1" wp14:anchorId="44516D43" wp14:editId="02D980B4">
            <wp:simplePos x="0" y="0"/>
            <wp:positionH relativeFrom="column">
              <wp:posOffset>4133215</wp:posOffset>
            </wp:positionH>
            <wp:positionV relativeFrom="paragraph">
              <wp:posOffset>5566410</wp:posOffset>
            </wp:positionV>
            <wp:extent cx="1499235" cy="895350"/>
            <wp:effectExtent l="0" t="0" r="5715" b="0"/>
            <wp:wrapTight wrapText="bothSides">
              <wp:wrapPolygon edited="0">
                <wp:start x="0" y="0"/>
                <wp:lineTo x="0" y="21140"/>
                <wp:lineTo x="21408" y="21140"/>
                <wp:lineTo x="21408" y="0"/>
                <wp:lineTo x="0" y="0"/>
              </wp:wrapPolygon>
            </wp:wrapTight>
            <wp:docPr id="11" name="Picture 10" descr="tnc.resiliency.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nc.resiliency.ner.jpg"/>
                    <pic:cNvPicPr>
                      <a:picLocks noChangeAspect="1"/>
                    </pic:cNvPicPr>
                  </pic:nvPicPr>
                  <pic:blipFill rotWithShape="1">
                    <a:blip r:embed="rId8" cstate="screen">
                      <a:extLst>
                        <a:ext uri="{28A0092B-C50C-407E-A947-70E740481C1C}">
                          <a14:useLocalDpi xmlns:a14="http://schemas.microsoft.com/office/drawing/2010/main" val="0"/>
                        </a:ext>
                      </a:extLst>
                    </a:blip>
                    <a:srcRect l="12717" t="10545"/>
                    <a:stretch/>
                  </pic:blipFill>
                  <pic:spPr>
                    <a:xfrm>
                      <a:off x="0" y="0"/>
                      <a:ext cx="1499235" cy="895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7CF216" wp14:editId="356023FD">
            <wp:simplePos x="0" y="0"/>
            <wp:positionH relativeFrom="column">
              <wp:posOffset>0</wp:posOffset>
            </wp:positionH>
            <wp:positionV relativeFrom="paragraph">
              <wp:posOffset>3810</wp:posOffset>
            </wp:positionV>
            <wp:extent cx="5943600" cy="7200265"/>
            <wp:effectExtent l="0" t="0" r="0" b="635"/>
            <wp:wrapTight wrapText="bothSides">
              <wp:wrapPolygon edited="0">
                <wp:start x="0" y="0"/>
                <wp:lineTo x="0" y="21545"/>
                <wp:lineTo x="21531" y="2154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7200265"/>
                    </a:xfrm>
                    <a:prstGeom prst="rect">
                      <a:avLst/>
                    </a:prstGeom>
                  </pic:spPr>
                </pic:pic>
              </a:graphicData>
            </a:graphic>
            <wp14:sizeRelH relativeFrom="page">
              <wp14:pctWidth>0</wp14:pctWidth>
            </wp14:sizeRelH>
            <wp14:sizeRelV relativeFrom="page">
              <wp14:pctHeight>0</wp14:pctHeight>
            </wp14:sizeRelV>
          </wp:anchor>
        </w:drawing>
      </w:r>
      <w:r w:rsidRPr="00AD7620">
        <w:rPr>
          <w:noProof/>
        </w:rPr>
        <w:t xml:space="preserve"> </w:t>
      </w:r>
    </w:p>
    <w:sectPr w:rsidR="00AD7620" w:rsidSect="00421FC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07"/>
    <w:multiLevelType w:val="multilevel"/>
    <w:tmpl w:val="0D1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E0011"/>
    <w:multiLevelType w:val="hybridMultilevel"/>
    <w:tmpl w:val="719E39D0"/>
    <w:lvl w:ilvl="0" w:tplc="EC1A265E">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45335"/>
    <w:multiLevelType w:val="hybridMultilevel"/>
    <w:tmpl w:val="C5ACC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2787B"/>
    <w:multiLevelType w:val="multilevel"/>
    <w:tmpl w:val="A4B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53A70"/>
    <w:multiLevelType w:val="multilevel"/>
    <w:tmpl w:val="31B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1"/>
    <w:rsid w:val="000A34E9"/>
    <w:rsid w:val="000C4872"/>
    <w:rsid w:val="000C6637"/>
    <w:rsid w:val="001343EC"/>
    <w:rsid w:val="00192422"/>
    <w:rsid w:val="001A5869"/>
    <w:rsid w:val="002568B9"/>
    <w:rsid w:val="002C0469"/>
    <w:rsid w:val="002D6E58"/>
    <w:rsid w:val="002E445A"/>
    <w:rsid w:val="00311013"/>
    <w:rsid w:val="0036104E"/>
    <w:rsid w:val="003C4A61"/>
    <w:rsid w:val="00421FC3"/>
    <w:rsid w:val="004A5255"/>
    <w:rsid w:val="004B54EF"/>
    <w:rsid w:val="004F152F"/>
    <w:rsid w:val="00565123"/>
    <w:rsid w:val="005F22FF"/>
    <w:rsid w:val="00652162"/>
    <w:rsid w:val="006B5437"/>
    <w:rsid w:val="006F731B"/>
    <w:rsid w:val="00713052"/>
    <w:rsid w:val="0073182D"/>
    <w:rsid w:val="00756225"/>
    <w:rsid w:val="00771E9F"/>
    <w:rsid w:val="007B5BF7"/>
    <w:rsid w:val="007D5B3F"/>
    <w:rsid w:val="00817909"/>
    <w:rsid w:val="00845940"/>
    <w:rsid w:val="008722A9"/>
    <w:rsid w:val="008944B0"/>
    <w:rsid w:val="009A2015"/>
    <w:rsid w:val="009C14C4"/>
    <w:rsid w:val="009D7031"/>
    <w:rsid w:val="00A5551A"/>
    <w:rsid w:val="00AD7620"/>
    <w:rsid w:val="00C71936"/>
    <w:rsid w:val="00C80ED4"/>
    <w:rsid w:val="00CA5FEB"/>
    <w:rsid w:val="00CB23FC"/>
    <w:rsid w:val="00CD4161"/>
    <w:rsid w:val="00CE49FC"/>
    <w:rsid w:val="00D1399D"/>
    <w:rsid w:val="00D314F8"/>
    <w:rsid w:val="00D45278"/>
    <w:rsid w:val="00D85EEB"/>
    <w:rsid w:val="00E15193"/>
    <w:rsid w:val="00E2167B"/>
    <w:rsid w:val="00E45D5C"/>
    <w:rsid w:val="00E54D6F"/>
    <w:rsid w:val="00EB208E"/>
    <w:rsid w:val="00F0659A"/>
    <w:rsid w:val="00F32070"/>
    <w:rsid w:val="00F36DF9"/>
    <w:rsid w:val="00F50240"/>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6519">
      <w:bodyDiv w:val="1"/>
      <w:marLeft w:val="0"/>
      <w:marRight w:val="0"/>
      <w:marTop w:val="0"/>
      <w:marBottom w:val="0"/>
      <w:divBdr>
        <w:top w:val="none" w:sz="0" w:space="0" w:color="auto"/>
        <w:left w:val="none" w:sz="0" w:space="0" w:color="auto"/>
        <w:bottom w:val="none" w:sz="0" w:space="0" w:color="auto"/>
        <w:right w:val="none" w:sz="0" w:space="0" w:color="auto"/>
      </w:divBdr>
      <w:divsChild>
        <w:div w:id="436409540">
          <w:marLeft w:val="0"/>
          <w:marRight w:val="0"/>
          <w:marTop w:val="0"/>
          <w:marBottom w:val="0"/>
          <w:divBdr>
            <w:top w:val="none" w:sz="0" w:space="0" w:color="auto"/>
            <w:left w:val="none" w:sz="0" w:space="0" w:color="auto"/>
            <w:bottom w:val="none" w:sz="0" w:space="0" w:color="auto"/>
            <w:right w:val="none" w:sz="0" w:space="0" w:color="auto"/>
          </w:divBdr>
          <w:divsChild>
            <w:div w:id="1633291142">
              <w:marLeft w:val="0"/>
              <w:marRight w:val="0"/>
              <w:marTop w:val="0"/>
              <w:marBottom w:val="0"/>
              <w:divBdr>
                <w:top w:val="none" w:sz="0" w:space="0" w:color="auto"/>
                <w:left w:val="none" w:sz="0" w:space="0" w:color="auto"/>
                <w:bottom w:val="none" w:sz="0" w:space="0" w:color="auto"/>
                <w:right w:val="none" w:sz="0" w:space="0" w:color="auto"/>
              </w:divBdr>
              <w:divsChild>
                <w:div w:id="1422988168">
                  <w:marLeft w:val="0"/>
                  <w:marRight w:val="0"/>
                  <w:marTop w:val="0"/>
                  <w:marBottom w:val="0"/>
                  <w:divBdr>
                    <w:top w:val="none" w:sz="0" w:space="0" w:color="auto"/>
                    <w:left w:val="none" w:sz="0" w:space="0" w:color="auto"/>
                    <w:bottom w:val="none" w:sz="0" w:space="0" w:color="auto"/>
                    <w:right w:val="none" w:sz="0" w:space="0" w:color="auto"/>
                  </w:divBdr>
                  <w:divsChild>
                    <w:div w:id="1484469390">
                      <w:marLeft w:val="0"/>
                      <w:marRight w:val="0"/>
                      <w:marTop w:val="0"/>
                      <w:marBottom w:val="0"/>
                      <w:divBdr>
                        <w:top w:val="none" w:sz="0" w:space="0" w:color="auto"/>
                        <w:left w:val="none" w:sz="0" w:space="0" w:color="auto"/>
                        <w:bottom w:val="none" w:sz="0" w:space="0" w:color="auto"/>
                        <w:right w:val="none" w:sz="0" w:space="0" w:color="auto"/>
                      </w:divBdr>
                      <w:divsChild>
                        <w:div w:id="1904754955">
                          <w:marLeft w:val="0"/>
                          <w:marRight w:val="0"/>
                          <w:marTop w:val="0"/>
                          <w:marBottom w:val="0"/>
                          <w:divBdr>
                            <w:top w:val="none" w:sz="0" w:space="0" w:color="auto"/>
                            <w:left w:val="none" w:sz="0" w:space="0" w:color="auto"/>
                            <w:bottom w:val="none" w:sz="0" w:space="0" w:color="auto"/>
                            <w:right w:val="none" w:sz="0" w:space="0" w:color="auto"/>
                          </w:divBdr>
                          <w:divsChild>
                            <w:div w:id="865025291">
                              <w:marLeft w:val="0"/>
                              <w:marRight w:val="0"/>
                              <w:marTop w:val="0"/>
                              <w:marBottom w:val="0"/>
                              <w:divBdr>
                                <w:top w:val="none" w:sz="0" w:space="0" w:color="auto"/>
                                <w:left w:val="none" w:sz="0" w:space="0" w:color="auto"/>
                                <w:bottom w:val="none" w:sz="0" w:space="0" w:color="auto"/>
                                <w:right w:val="none" w:sz="0" w:space="0" w:color="auto"/>
                              </w:divBdr>
                              <w:divsChild>
                                <w:div w:id="602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dc:creator>
  <cp:lastModifiedBy>US Fish &amp; Wildlife Service</cp:lastModifiedBy>
  <cp:revision>4</cp:revision>
  <cp:lastPrinted>2014-03-27T20:46:00Z</cp:lastPrinted>
  <dcterms:created xsi:type="dcterms:W3CDTF">2014-03-27T16:45:00Z</dcterms:created>
  <dcterms:modified xsi:type="dcterms:W3CDTF">2014-03-27T20:46:00Z</dcterms:modified>
</cp:coreProperties>
</file>