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28"/>
        <w:gridCol w:w="4230"/>
        <w:gridCol w:w="4860"/>
        <w:gridCol w:w="1980"/>
      </w:tblGrid>
      <w:tr w:rsidR="00071FE7" w:rsidRPr="0083672F" w:rsidTr="0098212B">
        <w:trPr>
          <w:trHeight w:val="960"/>
          <w:tblHeader/>
        </w:trPr>
        <w:tc>
          <w:tcPr>
            <w:tcW w:w="2628" w:type="dxa"/>
            <w:shd w:val="clear" w:color="auto" w:fill="auto"/>
            <w:vAlign w:val="center"/>
            <w:hideMark/>
          </w:tcPr>
          <w:p w:rsidR="00071FE7" w:rsidRPr="0083672F" w:rsidRDefault="00071FE7" w:rsidP="003D2B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83672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Common Science Need</w:t>
            </w: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071FE7" w:rsidRPr="0083672F" w:rsidRDefault="00071FE7" w:rsidP="003D2B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83672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Specific Needs/Projects</w:t>
            </w:r>
          </w:p>
        </w:tc>
        <w:tc>
          <w:tcPr>
            <w:tcW w:w="4860" w:type="dxa"/>
            <w:vAlign w:val="center"/>
          </w:tcPr>
          <w:p w:rsidR="00071FE7" w:rsidRDefault="00071FE7" w:rsidP="00071F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Next Steps/Status</w:t>
            </w:r>
          </w:p>
        </w:tc>
        <w:tc>
          <w:tcPr>
            <w:tcW w:w="1980" w:type="dxa"/>
            <w:vAlign w:val="center"/>
          </w:tcPr>
          <w:p w:rsidR="00071FE7" w:rsidRDefault="00071FE7" w:rsidP="008058E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LCC Funding Actions</w:t>
            </w:r>
          </w:p>
        </w:tc>
      </w:tr>
      <w:tr w:rsidR="00071FE7" w:rsidRPr="0083672F" w:rsidTr="0098212B">
        <w:trPr>
          <w:trHeight w:val="1070"/>
        </w:trPr>
        <w:tc>
          <w:tcPr>
            <w:tcW w:w="2628" w:type="dxa"/>
            <w:shd w:val="clear" w:color="auto" w:fill="auto"/>
            <w:vAlign w:val="center"/>
            <w:hideMark/>
          </w:tcPr>
          <w:p w:rsidR="00071FE7" w:rsidRPr="00044790" w:rsidRDefault="00071FE7" w:rsidP="003D2B8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044790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Vulnerability of coastal wetlands and beaches to sea level rise and other anthropogenic stressors</w:t>
            </w: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071FE7" w:rsidRPr="0083672F" w:rsidRDefault="00071FE7" w:rsidP="003D2B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67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Assessment of the current state and greatest needs for sea level rise models related to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coastal wetlands and beaches; c</w:t>
            </w:r>
            <w:r w:rsidRPr="008367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omprehensive assessment of tidal wetlands that unifies existing work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4860" w:type="dxa"/>
            <w:vAlign w:val="center"/>
          </w:tcPr>
          <w:p w:rsidR="00071FE7" w:rsidRDefault="00071FE7" w:rsidP="003E6A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71F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LCC staff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will </w:t>
            </w:r>
            <w:r w:rsidRPr="00071F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consult with technical committee, partner federal agencies (NOAA, USGS, FWS, </w:t>
            </w:r>
            <w:proofErr w:type="gramStart"/>
            <w:r w:rsidRPr="00071F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EPA</w:t>
            </w:r>
            <w:proofErr w:type="gramEnd"/>
            <w:r w:rsidRPr="00071F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) and state coastal zone agencies on best way to assess state of the science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and greatest needs</w:t>
            </w:r>
            <w:r w:rsidR="009212D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focused on habitats and species.  </w:t>
            </w:r>
            <w:r w:rsidRPr="00071F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r w:rsidR="003E6AD9" w:rsidRPr="003E6AD9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LCC staff and </w:t>
            </w:r>
            <w:r w:rsidR="00B95B7D" w:rsidRPr="003E6AD9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NPS Coastal Adaptation Specialist</w:t>
            </w:r>
            <w:r w:rsidR="003E6AD9" w:rsidRPr="003E6AD9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 could lead an assessment along with other federal agencies (e.g. NOAA, USGS, FWS, EPA, </w:t>
            </w:r>
            <w:proofErr w:type="gramStart"/>
            <w:r w:rsidR="003E6AD9" w:rsidRPr="003E6AD9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BOEM</w:t>
            </w:r>
            <w:proofErr w:type="gramEnd"/>
            <w:r w:rsidR="003E6AD9" w:rsidRPr="003E6AD9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), marine partnerships and NEAFWA Vulnerability Assessment</w:t>
            </w:r>
            <w:r w:rsidR="003E6AD9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 coastal group.</w:t>
            </w:r>
          </w:p>
        </w:tc>
        <w:tc>
          <w:tcPr>
            <w:tcW w:w="1980" w:type="dxa"/>
            <w:vAlign w:val="center"/>
          </w:tcPr>
          <w:p w:rsidR="00071FE7" w:rsidRPr="008058EF" w:rsidRDefault="00071FE7" w:rsidP="008058E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8058E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Fund additional needs if justified based on assessment.</w:t>
            </w:r>
            <w:r w:rsidR="009B4779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  (</w:t>
            </w:r>
            <w:proofErr w:type="gramStart"/>
            <w:r w:rsidR="009B4779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hold</w:t>
            </w:r>
            <w:proofErr w:type="gramEnd"/>
            <w:r w:rsidR="009B4779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 back funds?)</w:t>
            </w:r>
          </w:p>
        </w:tc>
      </w:tr>
      <w:tr w:rsidR="00071FE7" w:rsidRPr="0083672F" w:rsidTr="0098212B">
        <w:trPr>
          <w:trHeight w:val="1065"/>
        </w:trPr>
        <w:tc>
          <w:tcPr>
            <w:tcW w:w="2628" w:type="dxa"/>
            <w:shd w:val="clear" w:color="auto" w:fill="auto"/>
            <w:vAlign w:val="center"/>
            <w:hideMark/>
          </w:tcPr>
          <w:p w:rsidR="00071FE7" w:rsidRPr="00044790" w:rsidRDefault="00071FE7" w:rsidP="003D2B8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044790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General vulnerability assessments to northeastern fish and wildlife habitats and species</w:t>
            </w: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071FE7" w:rsidRPr="0083672F" w:rsidRDefault="00071FE7" w:rsidP="003D2B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gramStart"/>
            <w:r w:rsidRPr="008367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Assess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ment of </w:t>
            </w:r>
            <w:r w:rsidRPr="008367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the impacts of climate change</w:t>
            </w:r>
            <w:proofErr w:type="gramEnd"/>
            <w:r w:rsidRPr="008367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on northeastern fish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&amp;</w:t>
            </w:r>
            <w:r w:rsidRPr="008367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wildlife habitats and species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through expert-driven model; c</w:t>
            </w:r>
            <w:r w:rsidRPr="008367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omplement expert-driven approach with da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ta, </w:t>
            </w:r>
            <w:r w:rsidRPr="008367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models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and maps.</w:t>
            </w:r>
          </w:p>
        </w:tc>
        <w:tc>
          <w:tcPr>
            <w:tcW w:w="4860" w:type="dxa"/>
            <w:vAlign w:val="center"/>
          </w:tcPr>
          <w:p w:rsidR="00071FE7" w:rsidRDefault="00071FE7" w:rsidP="00921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71F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Hector Galbraith (</w:t>
            </w:r>
            <w:proofErr w:type="spellStart"/>
            <w:r w:rsidRPr="00071F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Manomet</w:t>
            </w:r>
            <w:proofErr w:type="spellEnd"/>
            <w:r w:rsidRPr="00071F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) and Lesley </w:t>
            </w:r>
            <w:proofErr w:type="spellStart"/>
            <w:r w:rsidRPr="00071F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Sneddon</w:t>
            </w:r>
            <w:proofErr w:type="spellEnd"/>
            <w:r w:rsidRPr="00071F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071F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NatureServe</w:t>
            </w:r>
            <w:proofErr w:type="spellEnd"/>
            <w:r w:rsidRPr="00071F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) are working with LCC staff to finalize proposals for the </w:t>
            </w:r>
            <w:r w:rsidR="009212D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incorporation</w:t>
            </w:r>
            <w:r w:rsidRPr="00071F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of the </w:t>
            </w:r>
            <w:proofErr w:type="spellStart"/>
            <w:r w:rsidRPr="00071F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NatureServe</w:t>
            </w:r>
            <w:proofErr w:type="spellEnd"/>
            <w:r w:rsidRPr="00071F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Climate Change Vulnerability Index </w:t>
            </w:r>
            <w:r w:rsidR="009212D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(CCVI) into existing RCN projects.</w:t>
            </w:r>
          </w:p>
        </w:tc>
        <w:tc>
          <w:tcPr>
            <w:tcW w:w="1980" w:type="dxa"/>
            <w:vAlign w:val="center"/>
          </w:tcPr>
          <w:p w:rsidR="00071FE7" w:rsidRPr="008058EF" w:rsidRDefault="003E6AD9" w:rsidP="003E6AD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F</w:t>
            </w:r>
            <w:r w:rsidR="009212DC" w:rsidRPr="008058E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unding </w:t>
            </w: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increased </w:t>
            </w:r>
            <w:r w:rsidR="009212DC" w:rsidRPr="008058E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by $7</w:t>
            </w: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5</w:t>
            </w:r>
            <w:r w:rsidR="009212DC" w:rsidRPr="008058E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k to support incorporation of CCVI.</w:t>
            </w:r>
          </w:p>
        </w:tc>
      </w:tr>
      <w:tr w:rsidR="00071FE7" w:rsidRPr="0083672F" w:rsidTr="0098212B">
        <w:trPr>
          <w:trHeight w:val="960"/>
        </w:trPr>
        <w:tc>
          <w:tcPr>
            <w:tcW w:w="2628" w:type="dxa"/>
            <w:shd w:val="clear" w:color="auto" w:fill="auto"/>
            <w:vAlign w:val="center"/>
            <w:hideMark/>
          </w:tcPr>
          <w:p w:rsidR="00071FE7" w:rsidRPr="00044790" w:rsidRDefault="00071FE7" w:rsidP="003D2B8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044790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Specific vulnerability assessments of northeastern amphibians and reptiles</w:t>
            </w: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071FE7" w:rsidRPr="0083672F" w:rsidRDefault="00071FE7" w:rsidP="003D2B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67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Identif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ication of </w:t>
            </w:r>
            <w:r w:rsidRPr="008367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highest priorities and gaps in distribution data for amphibians; vulnerability assessments including vernal pools, migratory barriers, sea level rise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4860" w:type="dxa"/>
            <w:vAlign w:val="center"/>
          </w:tcPr>
          <w:p w:rsidR="00071FE7" w:rsidRPr="003E6AD9" w:rsidRDefault="009212DC" w:rsidP="003E6AD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3E6AD9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NEPARC and AFWA to develop</w:t>
            </w:r>
            <w:r w:rsidR="003E6AD9" w:rsidRPr="003E6AD9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ed a joint proposal</w:t>
            </w:r>
            <w:r w:rsidRPr="003E6AD9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 for Important </w:t>
            </w:r>
            <w:proofErr w:type="spellStart"/>
            <w:r w:rsidRPr="003E6AD9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Herpetofaunal</w:t>
            </w:r>
            <w:proofErr w:type="spellEnd"/>
            <w:r w:rsidRPr="003E6AD9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 </w:t>
            </w:r>
            <w:r w:rsidR="00B024B3" w:rsidRPr="003E6AD9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Areas</w:t>
            </w:r>
            <w:r w:rsidR="00F7683F" w:rsidRPr="003E6AD9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 (IHA)</w:t>
            </w:r>
            <w:r w:rsidR="00B024B3" w:rsidRPr="003E6AD9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 and </w:t>
            </w:r>
            <w:r w:rsidRPr="003E6AD9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national </w:t>
            </w:r>
            <w:r w:rsidR="00B024B3" w:rsidRPr="003E6AD9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Climate Vulnerability Analysis for Amphibians and Reptiles </w:t>
            </w:r>
            <w:r w:rsidR="003E6AD9" w:rsidRPr="003E6AD9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for Technical Committee review and recommendation</w:t>
            </w:r>
          </w:p>
        </w:tc>
        <w:tc>
          <w:tcPr>
            <w:tcW w:w="1980" w:type="dxa"/>
            <w:vAlign w:val="center"/>
          </w:tcPr>
          <w:p w:rsidR="00071FE7" w:rsidRPr="008058EF" w:rsidRDefault="009B4779" w:rsidP="009B477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Provide recommendation on submitted NEPARC proposal </w:t>
            </w:r>
            <w:r w:rsidR="008058EF" w:rsidRPr="008058E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 $</w:t>
            </w:r>
            <w:r w:rsidR="00882161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2</w:t>
            </w:r>
            <w:r w:rsidR="00B05844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99</w:t>
            </w: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k</w:t>
            </w:r>
          </w:p>
        </w:tc>
      </w:tr>
      <w:tr w:rsidR="00071FE7" w:rsidRPr="0083672F" w:rsidTr="0098212B">
        <w:trPr>
          <w:trHeight w:val="755"/>
        </w:trPr>
        <w:tc>
          <w:tcPr>
            <w:tcW w:w="2628" w:type="dxa"/>
            <w:shd w:val="clear" w:color="auto" w:fill="auto"/>
            <w:vAlign w:val="center"/>
            <w:hideMark/>
          </w:tcPr>
          <w:p w:rsidR="00071FE7" w:rsidRPr="00044790" w:rsidRDefault="00071FE7" w:rsidP="003D2B8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044790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Specific vulnerability assessments of cold water stream habitats and species including  brook trout </w:t>
            </w: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071FE7" w:rsidRPr="0083672F" w:rsidRDefault="00071FE7" w:rsidP="000E14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Bring together multiple app</w:t>
            </w:r>
            <w:r w:rsidRPr="00545AB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roaches to assessing habitat and popu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lation factors for brook trout and other coldwater species </w:t>
            </w:r>
            <w:r w:rsidRPr="00545AB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including: habitat modeling to predict distribution; vulnerability assessments to altered stream temperature and hydrology; iden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tification of resilient habitat; </w:t>
            </w:r>
            <w:r w:rsidRPr="00545AB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barrier identification in headwater streams; population genomics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4860" w:type="dxa"/>
            <w:vAlign w:val="center"/>
          </w:tcPr>
          <w:p w:rsidR="00F7683F" w:rsidRPr="001C558D" w:rsidRDefault="00F7683F" w:rsidP="00F7683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F7683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USGS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will work </w:t>
            </w:r>
            <w:r w:rsidRPr="00F7683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with partners including Brook Trout Joint Venture to define and further support coldwater stream science needs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building on FY 10 LCC project </w:t>
            </w:r>
            <w:r w:rsidRPr="00F7683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using FY 2011 USGS LCC funds.  </w:t>
            </w:r>
            <w:r w:rsidR="001C558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 </w:t>
            </w:r>
            <w:r w:rsidR="001C558D" w:rsidRPr="001C558D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Aquatic workgroup </w:t>
            </w:r>
            <w:r w:rsidR="009B4779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needed </w:t>
            </w:r>
            <w:r w:rsidR="001C558D" w:rsidRPr="001C558D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to work with EBTJ</w:t>
            </w:r>
            <w:r w:rsidR="00882161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V</w:t>
            </w:r>
            <w:r w:rsidR="001C558D" w:rsidRPr="001C558D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 and USGS assess status and </w:t>
            </w:r>
            <w:r w:rsidR="001C558D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remaining </w:t>
            </w:r>
            <w:r w:rsidR="001C558D" w:rsidRPr="001C558D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gaps in science needed.</w:t>
            </w:r>
          </w:p>
          <w:p w:rsidR="00071FE7" w:rsidRDefault="00071FE7" w:rsidP="00071F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:rsidR="00071FE7" w:rsidRPr="00B05844" w:rsidRDefault="00F7683F" w:rsidP="008058E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B05844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Support from USGS for freshwater mussels ($20k) and flow and temperature models ($150k).</w:t>
            </w:r>
          </w:p>
        </w:tc>
      </w:tr>
      <w:tr w:rsidR="00071FE7" w:rsidRPr="0083672F" w:rsidTr="0098212B">
        <w:trPr>
          <w:trHeight w:val="975"/>
        </w:trPr>
        <w:tc>
          <w:tcPr>
            <w:tcW w:w="2628" w:type="dxa"/>
            <w:shd w:val="clear" w:color="auto" w:fill="auto"/>
            <w:vAlign w:val="center"/>
            <w:hideMark/>
          </w:tcPr>
          <w:p w:rsidR="00071FE7" w:rsidRPr="00044790" w:rsidRDefault="00071FE7" w:rsidP="003D2B8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044790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Habitat mapping and modeling  of marine bird distributions and coastal migration of birds and bats</w:t>
            </w: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071FE7" w:rsidRPr="0083672F" w:rsidRDefault="00071FE7" w:rsidP="000E14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67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Spatial mapping of </w:t>
            </w:r>
            <w:proofErr w:type="spellStart"/>
            <w:r w:rsidRPr="008367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nearshore</w:t>
            </w:r>
            <w:proofErr w:type="spellEnd"/>
            <w:r w:rsidRPr="008367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and offshore marine bird hotspots in the Atlantic Flyway and migration routes and distributions of birds and bats along the Atlantic Coast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4860" w:type="dxa"/>
            <w:vAlign w:val="center"/>
          </w:tcPr>
          <w:p w:rsidR="00071FE7" w:rsidRDefault="009B4779" w:rsidP="009B47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Northwestern Atlantic Marine Birds Cooperative</w:t>
            </w:r>
            <w:r w:rsidR="00F7683F" w:rsidRPr="00F7683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hosted a </w:t>
            </w:r>
            <w:r w:rsidR="004471F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June </w:t>
            </w:r>
            <w:r w:rsidR="00F7683F" w:rsidRPr="00F7683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meeting with </w:t>
            </w:r>
            <w:r w:rsidR="004471F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partners</w:t>
            </w:r>
            <w:r w:rsidR="00F7683F" w:rsidRPr="00F7683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to assess highest priority science needs for marine birds in the North Atlantic.  </w:t>
            </w: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Proposal developed for</w:t>
            </w:r>
            <w:r w:rsidR="00F7683F" w:rsidRPr="008058E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 consideration </w:t>
            </w: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by Technical Committee</w:t>
            </w:r>
            <w:r w:rsidR="00F7683F" w:rsidRPr="008058E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1980" w:type="dxa"/>
            <w:vAlign w:val="center"/>
          </w:tcPr>
          <w:p w:rsidR="00071FE7" w:rsidRPr="008058EF" w:rsidRDefault="009B4779" w:rsidP="0004479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Provide recommendation on submitted </w:t>
            </w:r>
            <w:r w:rsidR="00044790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proposal </w:t>
            </w: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by </w:t>
            </w:r>
            <w:r w:rsidRPr="009B477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N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W</w:t>
            </w:r>
            <w:r w:rsidRPr="009B477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Atlantic Marine Bird Conservation Cooperative</w:t>
            </w:r>
            <w:r w:rsidRPr="009B4779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 </w:t>
            </w:r>
            <w:r w:rsidRPr="008058E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$</w:t>
            </w:r>
            <w:r w:rsidR="00044790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175k</w:t>
            </w:r>
          </w:p>
        </w:tc>
      </w:tr>
      <w:tr w:rsidR="00071FE7" w:rsidRPr="0083672F" w:rsidTr="0098212B">
        <w:trPr>
          <w:trHeight w:val="720"/>
        </w:trPr>
        <w:tc>
          <w:tcPr>
            <w:tcW w:w="2628" w:type="dxa"/>
            <w:shd w:val="clear" w:color="auto" w:fill="auto"/>
            <w:vAlign w:val="center"/>
            <w:hideMark/>
          </w:tcPr>
          <w:p w:rsidR="00071FE7" w:rsidRPr="00044790" w:rsidRDefault="00071FE7" w:rsidP="003D2B8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044790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Species-habitat modeling and mapping of aquatic species</w:t>
            </w: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071FE7" w:rsidRPr="0083672F" w:rsidRDefault="00071FE7" w:rsidP="00866F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Refine t</w:t>
            </w:r>
            <w:r w:rsidRPr="008367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ools to classify and map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aquatic </w:t>
            </w:r>
            <w:r w:rsidRPr="008367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habitat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including hydrology, temperature and connectivity</w:t>
            </w:r>
            <w:r w:rsidRPr="008367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; develop habitat occupancy models; identif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y </w:t>
            </w:r>
            <w:r w:rsidRPr="008367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priority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areas</w:t>
            </w:r>
            <w:r w:rsidRPr="008367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for conservation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4860" w:type="dxa"/>
            <w:vAlign w:val="center"/>
          </w:tcPr>
          <w:p w:rsidR="00071FE7" w:rsidRPr="009B4779" w:rsidRDefault="009B4779" w:rsidP="009B477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9B4779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Aquatic workgroup needed to work</w:t>
            </w:r>
            <w:r w:rsidR="00834B50" w:rsidRPr="009B4779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 with partners to </w:t>
            </w:r>
            <w:r w:rsidRPr="009B4779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refine aquatic habitat maps</w:t>
            </w: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 and representative species</w:t>
            </w:r>
            <w:r w:rsidRPr="009B4779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 and </w:t>
            </w:r>
            <w:r w:rsidR="00834B50" w:rsidRPr="009B4779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further define temperature and hydrology classification needs.  </w:t>
            </w:r>
            <w:r w:rsidR="002F3774" w:rsidRPr="009B4779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Work with USFWS, partners and partnerships including the Atlantic Coastal Fish Habitat Partnership to define needs for representative species modeling</w:t>
            </w:r>
          </w:p>
        </w:tc>
        <w:tc>
          <w:tcPr>
            <w:tcW w:w="1980" w:type="dxa"/>
            <w:vAlign w:val="center"/>
          </w:tcPr>
          <w:p w:rsidR="00071FE7" w:rsidRPr="009B4779" w:rsidRDefault="002F3774" w:rsidP="008058E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9B4779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Not yet.  Further refinement of need and projects.</w:t>
            </w:r>
          </w:p>
        </w:tc>
      </w:tr>
      <w:tr w:rsidR="00071FE7" w:rsidRPr="0083672F" w:rsidTr="00882161">
        <w:trPr>
          <w:trHeight w:val="1151"/>
        </w:trPr>
        <w:tc>
          <w:tcPr>
            <w:tcW w:w="2628" w:type="dxa"/>
            <w:shd w:val="clear" w:color="auto" w:fill="auto"/>
            <w:vAlign w:val="center"/>
            <w:hideMark/>
          </w:tcPr>
          <w:p w:rsidR="00071FE7" w:rsidRPr="00711A2B" w:rsidRDefault="00071FE7" w:rsidP="003D2B8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11A2B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lastRenderedPageBreak/>
              <w:t>Species habitat modeling and mapping of terrestrial and wetland species</w:t>
            </w: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071FE7" w:rsidRPr="0083672F" w:rsidRDefault="00071FE7" w:rsidP="00866F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Model and m</w:t>
            </w:r>
            <w:r w:rsidRPr="008367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ap the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current and predicted </w:t>
            </w:r>
            <w:r w:rsidRPr="008367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future distributions and extents of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representative </w:t>
            </w:r>
            <w:r w:rsidRPr="008367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habitats and species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4860" w:type="dxa"/>
            <w:vAlign w:val="center"/>
          </w:tcPr>
          <w:p w:rsidR="00071FE7" w:rsidRDefault="00882161" w:rsidP="00360C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82161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Contract extended</w:t>
            </w:r>
            <w:r w:rsidR="00360C7F" w:rsidRPr="00882161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 </w:t>
            </w:r>
            <w:r w:rsidR="008058EF" w:rsidRPr="00882161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with Vermont Coop. Unit </w:t>
            </w:r>
            <w:r w:rsidR="00360C7F" w:rsidRPr="00882161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for the representative species habitat modeling work as part of the </w:t>
            </w:r>
            <w:r w:rsidR="00360C7F" w:rsidRPr="00882161">
              <w:rPr>
                <w:rFonts w:ascii="Calibri" w:eastAsia="Times New Roman" w:hAnsi="Calibri" w:cs="Times New Roman"/>
                <w:b/>
                <w:i/>
                <w:color w:val="000000"/>
                <w:sz w:val="18"/>
                <w:szCs w:val="18"/>
              </w:rPr>
              <w:t xml:space="preserve">Providing Science and Tools in Support of the North Atlantic Landscape Conservation Cooperative: </w:t>
            </w:r>
            <w:r w:rsidR="00360C7F" w:rsidRPr="00882161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18"/>
                <w:szCs w:val="18"/>
              </w:rPr>
              <w:t>Designing Sustainable Landscapes for Wildlife in the North Atlantic Landscape Conservation Cooperative</w:t>
            </w:r>
            <w:r w:rsidR="00360C7F" w:rsidRPr="0088216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project.</w:t>
            </w:r>
          </w:p>
        </w:tc>
        <w:tc>
          <w:tcPr>
            <w:tcW w:w="1980" w:type="dxa"/>
            <w:vAlign w:val="center"/>
          </w:tcPr>
          <w:p w:rsidR="00071FE7" w:rsidRPr="008058EF" w:rsidRDefault="00360C7F" w:rsidP="0088216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8058E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Contract extension for approximately $5</w:t>
            </w:r>
            <w:r w:rsidR="00882161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8</w:t>
            </w:r>
            <w:r w:rsidRPr="008058E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k</w:t>
            </w:r>
          </w:p>
        </w:tc>
      </w:tr>
      <w:tr w:rsidR="00071FE7" w:rsidRPr="0083672F" w:rsidTr="0098212B">
        <w:trPr>
          <w:trHeight w:val="720"/>
        </w:trPr>
        <w:tc>
          <w:tcPr>
            <w:tcW w:w="2628" w:type="dxa"/>
            <w:shd w:val="clear" w:color="auto" w:fill="auto"/>
            <w:vAlign w:val="center"/>
            <w:hideMark/>
          </w:tcPr>
          <w:p w:rsidR="00071FE7" w:rsidRPr="00711A2B" w:rsidRDefault="00071FE7" w:rsidP="003D2B8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11A2B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Assessment of forest condition and management </w:t>
            </w: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071FE7" w:rsidRPr="0083672F" w:rsidRDefault="00071FE7" w:rsidP="003D2B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</w:t>
            </w:r>
            <w:r w:rsidRPr="008367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ssessment of the influence of forest condition and forest management on regional habitat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capability and connectivity.</w:t>
            </w:r>
          </w:p>
        </w:tc>
        <w:tc>
          <w:tcPr>
            <w:tcW w:w="4860" w:type="dxa"/>
            <w:vAlign w:val="center"/>
          </w:tcPr>
          <w:p w:rsidR="00071FE7" w:rsidRPr="009B4779" w:rsidRDefault="00C54273" w:rsidP="00071FE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Complete Phase I of Designing Sustainable Landscapes project including species habitat modeling and ecological integrity of forests</w:t>
            </w:r>
            <w:r w:rsidR="009B477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.  </w:t>
            </w:r>
            <w:r w:rsidR="009B4779" w:rsidRPr="009B4779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Need forest workgroup to begin framing this issue.</w:t>
            </w:r>
          </w:p>
          <w:p w:rsidR="0098212B" w:rsidRDefault="0098212B" w:rsidP="00071F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:rsidR="00071FE7" w:rsidRDefault="00C54273" w:rsidP="008058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Not at this time.</w:t>
            </w:r>
          </w:p>
        </w:tc>
      </w:tr>
      <w:tr w:rsidR="00071FE7" w:rsidRPr="0083672F" w:rsidTr="0098212B">
        <w:trPr>
          <w:trHeight w:val="300"/>
        </w:trPr>
        <w:tc>
          <w:tcPr>
            <w:tcW w:w="2628" w:type="dxa"/>
            <w:shd w:val="clear" w:color="auto" w:fill="auto"/>
            <w:vAlign w:val="center"/>
            <w:hideMark/>
          </w:tcPr>
          <w:p w:rsidR="00071FE7" w:rsidRPr="00711A2B" w:rsidRDefault="00071FE7" w:rsidP="003D2B8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11A2B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Climate model downscaling</w:t>
            </w: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071FE7" w:rsidRPr="0083672F" w:rsidRDefault="00071FE7" w:rsidP="003D2B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67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Climate model downscaling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at scales useful </w:t>
            </w:r>
            <w:r w:rsidRPr="008367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for stream flow and temperatures</w:t>
            </w:r>
          </w:p>
        </w:tc>
        <w:tc>
          <w:tcPr>
            <w:tcW w:w="4860" w:type="dxa"/>
          </w:tcPr>
          <w:p w:rsidR="00071FE7" w:rsidRDefault="00C54273" w:rsidP="003D2B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Information will be available through USGS and UMass.  </w:t>
            </w:r>
            <w:r w:rsidRPr="009B4779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Future needs should be developed through Climate Science Center.</w:t>
            </w:r>
          </w:p>
        </w:tc>
        <w:tc>
          <w:tcPr>
            <w:tcW w:w="1980" w:type="dxa"/>
            <w:vAlign w:val="center"/>
          </w:tcPr>
          <w:p w:rsidR="00071FE7" w:rsidRDefault="009B4779" w:rsidP="008058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Assess status and needs with </w:t>
            </w:r>
            <w:r w:rsidRPr="009B4779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Climate Science Center</w:t>
            </w:r>
          </w:p>
        </w:tc>
      </w:tr>
      <w:tr w:rsidR="00071FE7" w:rsidRPr="0083672F" w:rsidTr="0098212B">
        <w:trPr>
          <w:trHeight w:val="701"/>
        </w:trPr>
        <w:tc>
          <w:tcPr>
            <w:tcW w:w="2628" w:type="dxa"/>
            <w:shd w:val="clear" w:color="auto" w:fill="auto"/>
            <w:vAlign w:val="center"/>
            <w:hideMark/>
          </w:tcPr>
          <w:p w:rsidR="00071FE7" w:rsidRPr="00711A2B" w:rsidRDefault="00071FE7" w:rsidP="003D2B8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11A2B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Assessments of landscape connectivity</w:t>
            </w: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071FE7" w:rsidRPr="0083672F" w:rsidRDefault="00071FE7" w:rsidP="003D2B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Assess</w:t>
            </w:r>
            <w:r w:rsidRPr="008367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the current and future status of connectivity and regional and local scales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4860" w:type="dxa"/>
          </w:tcPr>
          <w:p w:rsidR="00071FE7" w:rsidRPr="00044790" w:rsidRDefault="00C54273" w:rsidP="003D2B8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044790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Consider support for ongoing TNC work through RCN proposal</w:t>
            </w:r>
            <w:r w:rsidR="00252312" w:rsidRPr="00044790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:  </w:t>
            </w:r>
            <w:r w:rsidR="00252312" w:rsidRPr="00044790">
              <w:rPr>
                <w:rFonts w:ascii="Calibri" w:eastAsia="Times New Roman" w:hAnsi="Calibri" w:cs="Times New Roman"/>
                <w:b/>
                <w:i/>
                <w:color w:val="000000"/>
                <w:sz w:val="18"/>
                <w:szCs w:val="18"/>
              </w:rPr>
              <w:t>Permeable Landscapes for SGCN</w:t>
            </w:r>
            <w:r w:rsidR="00044790" w:rsidRPr="00044790">
              <w:rPr>
                <w:rFonts w:ascii="Calibri" w:eastAsia="Times New Roman" w:hAnsi="Calibri" w:cs="Times New Roman"/>
                <w:b/>
                <w:i/>
                <w:color w:val="000000"/>
                <w:sz w:val="18"/>
                <w:szCs w:val="18"/>
              </w:rPr>
              <w:t xml:space="preserve">.  </w:t>
            </w:r>
            <w:r w:rsidR="00044790" w:rsidRPr="00044790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Coordinate with UMass Designing Sustainable Landscapes project.</w:t>
            </w:r>
          </w:p>
        </w:tc>
        <w:tc>
          <w:tcPr>
            <w:tcW w:w="1980" w:type="dxa"/>
            <w:vAlign w:val="center"/>
          </w:tcPr>
          <w:p w:rsidR="00071FE7" w:rsidRPr="008058EF" w:rsidRDefault="00C54273" w:rsidP="008058E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8058E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LCC support for RCN proposal </w:t>
            </w:r>
            <w:r w:rsidR="00252312" w:rsidRPr="008058E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$50k.</w:t>
            </w:r>
          </w:p>
        </w:tc>
      </w:tr>
      <w:tr w:rsidR="00071FE7" w:rsidRPr="0083672F" w:rsidTr="0098212B">
        <w:trPr>
          <w:trHeight w:val="720"/>
        </w:trPr>
        <w:tc>
          <w:tcPr>
            <w:tcW w:w="2628" w:type="dxa"/>
            <w:shd w:val="clear" w:color="auto" w:fill="auto"/>
            <w:vAlign w:val="center"/>
            <w:hideMark/>
          </w:tcPr>
          <w:p w:rsidR="00071FE7" w:rsidRPr="00711A2B" w:rsidRDefault="00071FE7" w:rsidP="003D2B8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11A2B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Analysis of recent landscape change</w:t>
            </w: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071FE7" w:rsidRPr="0083672F" w:rsidRDefault="00071FE7" w:rsidP="003D2B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Contemporary land-cover c</w:t>
            </w:r>
            <w:r w:rsidRPr="008367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hange in the North Atlantic LCC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for guiding management decisions.</w:t>
            </w:r>
          </w:p>
        </w:tc>
        <w:tc>
          <w:tcPr>
            <w:tcW w:w="4860" w:type="dxa"/>
          </w:tcPr>
          <w:p w:rsidR="00071FE7" w:rsidRDefault="00252312" w:rsidP="003D2B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No specific steps identified.  </w:t>
            </w:r>
            <w:r w:rsidRPr="00044790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Technical committee will </w:t>
            </w:r>
            <w:r w:rsidR="000A4586" w:rsidRPr="00044790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further assess needs and opportunities.</w:t>
            </w:r>
          </w:p>
        </w:tc>
        <w:tc>
          <w:tcPr>
            <w:tcW w:w="1980" w:type="dxa"/>
            <w:vAlign w:val="center"/>
          </w:tcPr>
          <w:p w:rsidR="00071FE7" w:rsidRDefault="000A4586" w:rsidP="008058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Not anticipated.</w:t>
            </w:r>
          </w:p>
        </w:tc>
      </w:tr>
      <w:tr w:rsidR="000A4586" w:rsidRPr="0083672F" w:rsidTr="0098212B">
        <w:trPr>
          <w:trHeight w:val="735"/>
        </w:trPr>
        <w:tc>
          <w:tcPr>
            <w:tcW w:w="2628" w:type="dxa"/>
            <w:shd w:val="clear" w:color="auto" w:fill="auto"/>
            <w:vAlign w:val="center"/>
            <w:hideMark/>
          </w:tcPr>
          <w:p w:rsidR="000A4586" w:rsidRPr="00711A2B" w:rsidRDefault="000A4586" w:rsidP="003D2B8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11A2B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Identifying focal areas for conservation</w:t>
            </w: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0A4586" w:rsidRPr="0083672F" w:rsidRDefault="000A4586" w:rsidP="003D2B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Advancing landscape-scale conservation for Northeastern herpetofauna through s</w:t>
            </w:r>
            <w:r w:rsidRPr="008367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upport of the Priority Amphibian and Reptile Cons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ervation Area (PARCA) s</w:t>
            </w:r>
            <w:r w:rsidRPr="008367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ystem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4860" w:type="dxa"/>
            <w:vAlign w:val="center"/>
          </w:tcPr>
          <w:p w:rsidR="000A4586" w:rsidRDefault="000A4586" w:rsidP="005E16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24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Work with NEPARC and AFWA to develop proposals for Important </w:t>
            </w:r>
            <w:proofErr w:type="spellStart"/>
            <w:r w:rsidRPr="00B024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Herpetofaunal</w:t>
            </w:r>
            <w:proofErr w:type="spellEnd"/>
            <w:r w:rsidRPr="00B024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Areas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(IHA)</w:t>
            </w:r>
            <w:r w:rsidRPr="00B024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and national Climate Vulnerability Analysis for Amphibians and Reptiles to </w:t>
            </w:r>
            <w:r w:rsidRPr="00710B0D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present to Steering Committee for consideration in November</w:t>
            </w:r>
            <w:r w:rsidRPr="00710B0D">
              <w:rPr>
                <w:rFonts w:ascii="Calibri" w:eastAsia="Times New Roman" w:hAnsi="Calibri" w:cs="Times New Roman"/>
                <w:b/>
                <w:i/>
                <w:color w:val="000000"/>
                <w:sz w:val="18"/>
                <w:szCs w:val="18"/>
              </w:rPr>
              <w:t>.</w:t>
            </w:r>
          </w:p>
        </w:tc>
        <w:tc>
          <w:tcPr>
            <w:tcW w:w="1980" w:type="dxa"/>
            <w:vAlign w:val="center"/>
          </w:tcPr>
          <w:p w:rsidR="000A4586" w:rsidRPr="00710B0D" w:rsidRDefault="006E1991" w:rsidP="008058E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Provide recommendation on submitted NEPARC proposal </w:t>
            </w:r>
            <w:r w:rsidRPr="008058E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 $</w:t>
            </w: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2</w:t>
            </w:r>
            <w:r w:rsidRPr="008058E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00</w:t>
            </w: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-300k</w:t>
            </w:r>
          </w:p>
        </w:tc>
      </w:tr>
      <w:tr w:rsidR="000A4586" w:rsidRPr="0083672F" w:rsidTr="0098212B">
        <w:trPr>
          <w:trHeight w:val="495"/>
        </w:trPr>
        <w:tc>
          <w:tcPr>
            <w:tcW w:w="2628" w:type="dxa"/>
            <w:shd w:val="clear" w:color="auto" w:fill="auto"/>
            <w:vAlign w:val="center"/>
            <w:hideMark/>
          </w:tcPr>
          <w:p w:rsidR="000A4586" w:rsidRPr="00711A2B" w:rsidRDefault="000A4586" w:rsidP="003D2B8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11A2B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Best management practices</w:t>
            </w: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0A4586" w:rsidRPr="0083672F" w:rsidRDefault="000A4586" w:rsidP="003D2B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Developing conservation and management strategies for vernal pool dependent herpetofauna of the n</w:t>
            </w:r>
            <w:r w:rsidRPr="008367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ortheast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including best management practices and model regulations.</w:t>
            </w:r>
          </w:p>
        </w:tc>
        <w:tc>
          <w:tcPr>
            <w:tcW w:w="4860" w:type="dxa"/>
          </w:tcPr>
          <w:p w:rsidR="000A4586" w:rsidRDefault="00044790" w:rsidP="003D2B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Consider as part of NEPARC proposal?</w:t>
            </w:r>
          </w:p>
        </w:tc>
        <w:tc>
          <w:tcPr>
            <w:tcW w:w="1980" w:type="dxa"/>
            <w:vAlign w:val="center"/>
          </w:tcPr>
          <w:p w:rsidR="000A4586" w:rsidRDefault="00044790" w:rsidP="008058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Not at this time.</w:t>
            </w:r>
          </w:p>
        </w:tc>
      </w:tr>
      <w:tr w:rsidR="000A4586" w:rsidRPr="0083672F" w:rsidTr="0098212B">
        <w:trPr>
          <w:trHeight w:val="735"/>
        </w:trPr>
        <w:tc>
          <w:tcPr>
            <w:tcW w:w="2628" w:type="dxa"/>
            <w:shd w:val="clear" w:color="auto" w:fill="auto"/>
            <w:vAlign w:val="center"/>
            <w:hideMark/>
          </w:tcPr>
          <w:p w:rsidR="000A4586" w:rsidRPr="00711A2B" w:rsidRDefault="000A4586" w:rsidP="003D2B8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11A2B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Detecting changes in species distribution</w:t>
            </w: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0A4586" w:rsidRPr="0083672F" w:rsidRDefault="000A4586" w:rsidP="00866F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Rapid a</w:t>
            </w:r>
            <w:r w:rsidRPr="008367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ssessment and re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</w:t>
            </w:r>
            <w:r w:rsidRPr="008367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ponse to coastal marine invasive species.</w:t>
            </w:r>
          </w:p>
        </w:tc>
        <w:tc>
          <w:tcPr>
            <w:tcW w:w="4860" w:type="dxa"/>
          </w:tcPr>
          <w:p w:rsidR="000A4586" w:rsidRPr="00711A2B" w:rsidRDefault="000A4586" w:rsidP="000A458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11A2B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Invasive species expert in the Fish and Wildlife Service participat</w:t>
            </w:r>
            <w:r w:rsidR="00044790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ing</w:t>
            </w:r>
            <w:r w:rsidRPr="00711A2B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 in detail with the LCC to determine the highest priority LCC needs related to invasive species.</w:t>
            </w:r>
          </w:p>
          <w:p w:rsidR="0098212B" w:rsidRDefault="0098212B" w:rsidP="000A4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:rsidR="000A4586" w:rsidRDefault="00711A2B" w:rsidP="008058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Not at this time.</w:t>
            </w:r>
          </w:p>
        </w:tc>
      </w:tr>
      <w:tr w:rsidR="000A4586" w:rsidRPr="0083672F" w:rsidTr="0098212B">
        <w:trPr>
          <w:trHeight w:val="735"/>
        </w:trPr>
        <w:tc>
          <w:tcPr>
            <w:tcW w:w="2628" w:type="dxa"/>
            <w:shd w:val="clear" w:color="auto" w:fill="auto"/>
            <w:vAlign w:val="center"/>
            <w:hideMark/>
          </w:tcPr>
          <w:p w:rsidR="000A4586" w:rsidRPr="00711A2B" w:rsidRDefault="000A4586" w:rsidP="003D2B8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11A2B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Adaptation planning pilot projects</w:t>
            </w: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0A4586" w:rsidRPr="0083672F" w:rsidRDefault="000A4586" w:rsidP="00866F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67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Project the impacts of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</w:t>
            </w:r>
            <w:r w:rsidRPr="008367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limate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</w:t>
            </w:r>
            <w:r w:rsidRPr="008367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hange and Identify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adaptation o</w:t>
            </w:r>
            <w:r w:rsidRPr="008367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ptions at specific pilot sites;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e.g.,</w:t>
            </w:r>
            <w:r w:rsidRPr="008367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Chinco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teague National Wildlife Refuge/Assateague National Seashore </w:t>
            </w:r>
            <w:r w:rsidRPr="008367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Complex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4860" w:type="dxa"/>
          </w:tcPr>
          <w:p w:rsidR="000A4586" w:rsidRPr="00710B0D" w:rsidRDefault="00711A2B" w:rsidP="005E169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Steering Committee </w:t>
            </w:r>
            <w:r w:rsidR="005E1692" w:rsidRPr="00710B0D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Work group will further define what types of demonstration projects the LCC would support.</w:t>
            </w:r>
          </w:p>
        </w:tc>
        <w:tc>
          <w:tcPr>
            <w:tcW w:w="1980" w:type="dxa"/>
            <w:vAlign w:val="center"/>
          </w:tcPr>
          <w:p w:rsidR="000A4586" w:rsidRDefault="0099104A" w:rsidP="008058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Not at this time.</w:t>
            </w:r>
          </w:p>
        </w:tc>
      </w:tr>
      <w:tr w:rsidR="000A4586" w:rsidRPr="0083672F" w:rsidTr="0098212B">
        <w:trPr>
          <w:trHeight w:val="495"/>
        </w:trPr>
        <w:tc>
          <w:tcPr>
            <w:tcW w:w="2628" w:type="dxa"/>
            <w:shd w:val="clear" w:color="auto" w:fill="auto"/>
            <w:vAlign w:val="center"/>
            <w:hideMark/>
          </w:tcPr>
          <w:p w:rsidR="000A4586" w:rsidRPr="00711A2B" w:rsidRDefault="000A4586" w:rsidP="003D2B8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11A2B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Habitat mapping  and modeling at NALCC scale</w:t>
            </w: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0A4586" w:rsidRPr="0083672F" w:rsidRDefault="000A4586" w:rsidP="003D2B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67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 characterization and "GAP" analysis of the LCC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4860" w:type="dxa"/>
          </w:tcPr>
          <w:p w:rsidR="000A4586" w:rsidRDefault="0099104A" w:rsidP="005E16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 specific needs identified.</w:t>
            </w:r>
          </w:p>
        </w:tc>
        <w:tc>
          <w:tcPr>
            <w:tcW w:w="1980" w:type="dxa"/>
            <w:vAlign w:val="center"/>
          </w:tcPr>
          <w:p w:rsidR="000A4586" w:rsidRDefault="0099104A" w:rsidP="008058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Not at this time.</w:t>
            </w:r>
          </w:p>
        </w:tc>
      </w:tr>
      <w:tr w:rsidR="000A4586" w:rsidRPr="0083672F" w:rsidTr="0098212B">
        <w:trPr>
          <w:trHeight w:val="495"/>
        </w:trPr>
        <w:tc>
          <w:tcPr>
            <w:tcW w:w="2628" w:type="dxa"/>
            <w:shd w:val="clear" w:color="auto" w:fill="auto"/>
            <w:vAlign w:val="center"/>
            <w:hideMark/>
          </w:tcPr>
          <w:p w:rsidR="000A4586" w:rsidRPr="00094352" w:rsidRDefault="000A4586" w:rsidP="003D2B8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094352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lastRenderedPageBreak/>
              <w:t>Adaptive Management Frameworks for Representative Species</w:t>
            </w: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0A4586" w:rsidRPr="0083672F" w:rsidRDefault="000A4586" w:rsidP="003D2B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</w:t>
            </w:r>
            <w:r w:rsidRPr="008367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eveloping an adaptive management framework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for </w:t>
            </w:r>
            <w:r w:rsidRPr="008367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American black duck habitat conservation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in the LCC.</w:t>
            </w:r>
          </w:p>
        </w:tc>
        <w:tc>
          <w:tcPr>
            <w:tcW w:w="4860" w:type="dxa"/>
          </w:tcPr>
          <w:p w:rsidR="00861B38" w:rsidRDefault="00861B38" w:rsidP="00861B3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98212B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Black Duck Joint Venture provided a proposal for LCC consideration</w:t>
            </w:r>
            <w:r w:rsidR="0098212B" w:rsidRPr="0098212B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.  Need to modify to better match LCC needs.  Will present revised proposal in November.</w:t>
            </w:r>
          </w:p>
          <w:p w:rsidR="00094352" w:rsidRPr="0098212B" w:rsidRDefault="00094352" w:rsidP="00861B3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</w:p>
          <w:p w:rsidR="000A4586" w:rsidRPr="0098212B" w:rsidRDefault="000A4586" w:rsidP="003D2B8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:rsidR="000A4586" w:rsidRPr="0098212B" w:rsidRDefault="006E1991" w:rsidP="008058E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Provide recommendation on BDJV proposal submitted</w:t>
            </w:r>
            <w:r w:rsidRPr="0098212B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 </w:t>
            </w:r>
            <w:r w:rsidR="00861B38" w:rsidRPr="0098212B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$40k</w:t>
            </w:r>
          </w:p>
        </w:tc>
      </w:tr>
      <w:tr w:rsidR="00861B38" w:rsidRPr="0083672F" w:rsidTr="0098212B">
        <w:trPr>
          <w:trHeight w:val="495"/>
        </w:trPr>
        <w:tc>
          <w:tcPr>
            <w:tcW w:w="2628" w:type="dxa"/>
            <w:shd w:val="clear" w:color="auto" w:fill="auto"/>
            <w:vAlign w:val="center"/>
          </w:tcPr>
          <w:p w:rsidR="00861B38" w:rsidRPr="00094352" w:rsidRDefault="00861B38" w:rsidP="00861B38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094352">
              <w:rPr>
                <w:rFonts w:ascii="Calibri" w:hAnsi="Calibri"/>
                <w:b/>
                <w:color w:val="000000"/>
                <w:sz w:val="18"/>
                <w:szCs w:val="18"/>
              </w:rPr>
              <w:t>Long-term data management system</w:t>
            </w:r>
          </w:p>
        </w:tc>
        <w:tc>
          <w:tcPr>
            <w:tcW w:w="4230" w:type="dxa"/>
            <w:shd w:val="clear" w:color="auto" w:fill="auto"/>
            <w:vAlign w:val="center"/>
          </w:tcPr>
          <w:p w:rsidR="00861B38" w:rsidRDefault="00861B38" w:rsidP="00861B3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Overall project; Phase 1:  Data needs assessment; Phase 2:  Technical alternatives assessment; Phase 3: Pilot database</w:t>
            </w:r>
          </w:p>
        </w:tc>
        <w:tc>
          <w:tcPr>
            <w:tcW w:w="4860" w:type="dxa"/>
          </w:tcPr>
          <w:p w:rsidR="00861B38" w:rsidRPr="00861B38" w:rsidRDefault="0056301A" w:rsidP="00711A2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</w:rPr>
            </w:pPr>
            <w:r w:rsidRPr="00AA043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LCC staff will assemble a technical team and hire a contractor to conduct an information needs </w:t>
            </w:r>
            <w:r w:rsidR="00AA043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and technical alternatives </w:t>
            </w:r>
            <w:r w:rsidRPr="00AA043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assessment</w:t>
            </w:r>
            <w:r w:rsidR="00AA043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and then </w:t>
            </w:r>
            <w:r w:rsidR="00AA043D" w:rsidRPr="00C74519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present results and recommendations to technical and steering committee.</w:t>
            </w:r>
          </w:p>
        </w:tc>
        <w:tc>
          <w:tcPr>
            <w:tcW w:w="1980" w:type="dxa"/>
            <w:vAlign w:val="center"/>
          </w:tcPr>
          <w:p w:rsidR="00861B38" w:rsidRPr="00710B0D" w:rsidRDefault="0056301A" w:rsidP="00711A2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10B0D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Fund contract for </w:t>
            </w:r>
            <w:r w:rsidR="00AA043D" w:rsidRPr="00710B0D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needs assessment; based on results consider support for pilot phase</w:t>
            </w:r>
            <w:r w:rsidR="00710B0D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.  </w:t>
            </w:r>
            <w:r w:rsidR="00094352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$</w:t>
            </w:r>
            <w:r w:rsidR="00711A2B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20</w:t>
            </w:r>
            <w:r w:rsidR="00710B0D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k</w:t>
            </w:r>
          </w:p>
        </w:tc>
      </w:tr>
      <w:tr w:rsidR="00861B38" w:rsidRPr="0083672F" w:rsidTr="0098212B">
        <w:trPr>
          <w:trHeight w:val="495"/>
        </w:trPr>
        <w:tc>
          <w:tcPr>
            <w:tcW w:w="2628" w:type="dxa"/>
            <w:shd w:val="clear" w:color="auto" w:fill="auto"/>
            <w:vAlign w:val="center"/>
          </w:tcPr>
          <w:p w:rsidR="00861B38" w:rsidRPr="00711A2B" w:rsidRDefault="00861B38" w:rsidP="00861B38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711A2B">
              <w:rPr>
                <w:rFonts w:ascii="Calibri" w:hAnsi="Calibri"/>
                <w:b/>
                <w:color w:val="000000"/>
                <w:sz w:val="18"/>
                <w:szCs w:val="18"/>
              </w:rPr>
              <w:t>Managed Lands Database Development</w:t>
            </w:r>
          </w:p>
        </w:tc>
        <w:tc>
          <w:tcPr>
            <w:tcW w:w="4230" w:type="dxa"/>
            <w:shd w:val="clear" w:color="auto" w:fill="auto"/>
            <w:vAlign w:val="center"/>
          </w:tcPr>
          <w:p w:rsidR="00861B38" w:rsidRDefault="00861B38" w:rsidP="00861B3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Consistent/updated habitat management database for Northeast Region.</w:t>
            </w:r>
          </w:p>
        </w:tc>
        <w:tc>
          <w:tcPr>
            <w:tcW w:w="4860" w:type="dxa"/>
            <w:vAlign w:val="center"/>
          </w:tcPr>
          <w:p w:rsidR="00861B38" w:rsidRPr="0083672F" w:rsidRDefault="0099104A" w:rsidP="00861B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Consider as part of needs assessment; </w:t>
            </w:r>
            <w:r w:rsidR="00F617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assess applicability of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work with ACJV on proposal for Competitive SWG or LCC</w:t>
            </w:r>
          </w:p>
        </w:tc>
        <w:tc>
          <w:tcPr>
            <w:tcW w:w="1980" w:type="dxa"/>
            <w:vAlign w:val="center"/>
          </w:tcPr>
          <w:p w:rsidR="00861B38" w:rsidRDefault="00094352" w:rsidP="008058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Not at this time.</w:t>
            </w:r>
          </w:p>
        </w:tc>
      </w:tr>
      <w:tr w:rsidR="00861B38" w:rsidRPr="0083672F" w:rsidTr="0098212B">
        <w:trPr>
          <w:trHeight w:val="495"/>
        </w:trPr>
        <w:tc>
          <w:tcPr>
            <w:tcW w:w="2628" w:type="dxa"/>
            <w:shd w:val="clear" w:color="auto" w:fill="auto"/>
            <w:vAlign w:val="center"/>
          </w:tcPr>
          <w:p w:rsidR="00861B38" w:rsidRPr="00711A2B" w:rsidRDefault="00861B38" w:rsidP="00861B38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711A2B">
              <w:rPr>
                <w:rFonts w:ascii="Calibri" w:hAnsi="Calibri"/>
                <w:b/>
                <w:color w:val="000000"/>
                <w:sz w:val="18"/>
                <w:szCs w:val="18"/>
              </w:rPr>
              <w:t>Consistent/updated secured lands database</w:t>
            </w:r>
          </w:p>
        </w:tc>
        <w:tc>
          <w:tcPr>
            <w:tcW w:w="4230" w:type="dxa"/>
            <w:shd w:val="clear" w:color="auto" w:fill="auto"/>
            <w:vAlign w:val="center"/>
          </w:tcPr>
          <w:p w:rsidR="00861B38" w:rsidRDefault="00861B38" w:rsidP="00861B3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Consistent, annually updated secured lands data for the Northeast Region.</w:t>
            </w:r>
          </w:p>
        </w:tc>
        <w:tc>
          <w:tcPr>
            <w:tcW w:w="4860" w:type="dxa"/>
            <w:vAlign w:val="center"/>
          </w:tcPr>
          <w:p w:rsidR="00861B38" w:rsidRPr="0083672F" w:rsidRDefault="00711A2B" w:rsidP="00861B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Information available through TNC database and National Conservation Easement Database.  </w:t>
            </w:r>
            <w:r w:rsidR="00DC68F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 steps identified.</w:t>
            </w:r>
          </w:p>
        </w:tc>
        <w:tc>
          <w:tcPr>
            <w:tcW w:w="1980" w:type="dxa"/>
            <w:vAlign w:val="center"/>
          </w:tcPr>
          <w:p w:rsidR="00861B38" w:rsidRDefault="0099104A" w:rsidP="008058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Not at this time.</w:t>
            </w:r>
          </w:p>
        </w:tc>
      </w:tr>
      <w:tr w:rsidR="00861B38" w:rsidRPr="0083672F" w:rsidTr="00711A2B">
        <w:trPr>
          <w:trHeight w:val="1502"/>
        </w:trPr>
        <w:tc>
          <w:tcPr>
            <w:tcW w:w="2628" w:type="dxa"/>
            <w:shd w:val="clear" w:color="auto" w:fill="auto"/>
            <w:vAlign w:val="center"/>
          </w:tcPr>
          <w:p w:rsidR="00861B38" w:rsidRPr="00711A2B" w:rsidRDefault="00861B38" w:rsidP="00861B38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711A2B">
              <w:rPr>
                <w:rFonts w:ascii="Calibri" w:hAnsi="Calibri"/>
                <w:b/>
                <w:color w:val="000000"/>
                <w:sz w:val="18"/>
                <w:szCs w:val="18"/>
              </w:rPr>
              <w:t>Online tool for accessing the most recent conservation designs</w:t>
            </w:r>
          </w:p>
        </w:tc>
        <w:tc>
          <w:tcPr>
            <w:tcW w:w="4230" w:type="dxa"/>
            <w:shd w:val="clear" w:color="auto" w:fill="auto"/>
            <w:vAlign w:val="center"/>
          </w:tcPr>
          <w:p w:rsidR="00861B38" w:rsidRDefault="00861B38" w:rsidP="00861B3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Spatial database of conservation designs; RCN and LCC projects have a rapidly growing need for dissemination of spatial data products; would be part of overall data management needs but is highly feasible as a separate component to be integrated into future comprehensive database.  </w:t>
            </w:r>
          </w:p>
        </w:tc>
        <w:tc>
          <w:tcPr>
            <w:tcW w:w="4860" w:type="dxa"/>
            <w:vAlign w:val="center"/>
          </w:tcPr>
          <w:p w:rsidR="00861B38" w:rsidRPr="00711A2B" w:rsidRDefault="0099104A" w:rsidP="00861B3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11A2B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Consider as part of needs assessment; coordinate with Southeast Conservation Atlas; coordinate with rcngrants.org.</w:t>
            </w:r>
            <w:r w:rsidR="00711A2B" w:rsidRPr="00711A2B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  LCC staff can begin assembling data layers.</w:t>
            </w:r>
          </w:p>
        </w:tc>
        <w:tc>
          <w:tcPr>
            <w:tcW w:w="1980" w:type="dxa"/>
            <w:vAlign w:val="center"/>
          </w:tcPr>
          <w:p w:rsidR="00861B38" w:rsidRPr="00711A2B" w:rsidRDefault="00C74519" w:rsidP="008058E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11A2B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Support for spatial data atlas after needs assessment.</w:t>
            </w:r>
            <w:r w:rsidR="0099104A" w:rsidRPr="00711A2B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 </w:t>
            </w:r>
          </w:p>
        </w:tc>
      </w:tr>
      <w:tr w:rsidR="002218F2" w:rsidRPr="0083672F" w:rsidTr="0098212B">
        <w:trPr>
          <w:trHeight w:val="495"/>
        </w:trPr>
        <w:tc>
          <w:tcPr>
            <w:tcW w:w="13698" w:type="dxa"/>
            <w:gridSpan w:val="4"/>
            <w:shd w:val="clear" w:color="auto" w:fill="auto"/>
            <w:vAlign w:val="center"/>
          </w:tcPr>
          <w:p w:rsidR="002218F2" w:rsidRDefault="002218F2" w:rsidP="008058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Additional Needs from Albany Workshop</w:t>
            </w:r>
          </w:p>
        </w:tc>
      </w:tr>
      <w:tr w:rsidR="001F62C9" w:rsidRPr="0083672F" w:rsidTr="0098212B">
        <w:trPr>
          <w:trHeight w:val="495"/>
        </w:trPr>
        <w:tc>
          <w:tcPr>
            <w:tcW w:w="2628" w:type="dxa"/>
            <w:vMerge w:val="restart"/>
            <w:shd w:val="clear" w:color="auto" w:fill="auto"/>
            <w:vAlign w:val="center"/>
          </w:tcPr>
          <w:p w:rsidR="001F62C9" w:rsidRPr="00094352" w:rsidRDefault="001F62C9" w:rsidP="001F62C9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094352">
              <w:rPr>
                <w:rFonts w:cs="Times New Roman"/>
                <w:b/>
                <w:sz w:val="18"/>
                <w:szCs w:val="18"/>
              </w:rPr>
              <w:t>Develop regional, consistent, spatial databases</w:t>
            </w:r>
          </w:p>
        </w:tc>
        <w:tc>
          <w:tcPr>
            <w:tcW w:w="4230" w:type="dxa"/>
            <w:shd w:val="clear" w:color="auto" w:fill="auto"/>
            <w:vAlign w:val="center"/>
          </w:tcPr>
          <w:p w:rsidR="001F62C9" w:rsidRDefault="001F62C9" w:rsidP="00861B3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B6939">
              <w:rPr>
                <w:rFonts w:cs="Times New Roman"/>
                <w:sz w:val="18"/>
                <w:szCs w:val="18"/>
              </w:rPr>
              <w:t>Support development of SWAP database to promote consistency in next generation of SWAPs</w:t>
            </w:r>
          </w:p>
        </w:tc>
        <w:tc>
          <w:tcPr>
            <w:tcW w:w="4860" w:type="dxa"/>
            <w:vAlign w:val="center"/>
          </w:tcPr>
          <w:p w:rsidR="001F62C9" w:rsidRDefault="001F62C9" w:rsidP="00861B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Consider as part of needs assessment</w:t>
            </w:r>
          </w:p>
        </w:tc>
        <w:tc>
          <w:tcPr>
            <w:tcW w:w="1980" w:type="dxa"/>
            <w:vAlign w:val="center"/>
          </w:tcPr>
          <w:p w:rsidR="001F62C9" w:rsidRDefault="00711A2B" w:rsidP="002218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Consider s</w:t>
            </w:r>
            <w:r w:rsidR="001F62C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upport for SWAP database after needs assessment.</w:t>
            </w:r>
          </w:p>
        </w:tc>
      </w:tr>
      <w:tr w:rsidR="001F62C9" w:rsidRPr="0083672F" w:rsidTr="0098212B">
        <w:trPr>
          <w:trHeight w:val="495"/>
        </w:trPr>
        <w:tc>
          <w:tcPr>
            <w:tcW w:w="2628" w:type="dxa"/>
            <w:vMerge/>
            <w:shd w:val="clear" w:color="auto" w:fill="auto"/>
          </w:tcPr>
          <w:p w:rsidR="001F62C9" w:rsidRDefault="001F62C9" w:rsidP="00711A2B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30" w:type="dxa"/>
            <w:shd w:val="clear" w:color="auto" w:fill="auto"/>
          </w:tcPr>
          <w:p w:rsidR="001F62C9" w:rsidRPr="007E2998" w:rsidRDefault="001F62C9" w:rsidP="00711A2B">
            <w:pPr>
              <w:autoSpaceDE w:val="0"/>
              <w:autoSpaceDN w:val="0"/>
              <w:adjustRightInd w:val="0"/>
              <w:contextualSpacing/>
              <w:rPr>
                <w:rFonts w:cs="Times New Roman"/>
                <w:b/>
                <w:sz w:val="18"/>
                <w:szCs w:val="18"/>
              </w:rPr>
            </w:pPr>
            <w:r w:rsidRPr="007E2998">
              <w:rPr>
                <w:rFonts w:cs="Times New Roman"/>
                <w:b/>
                <w:sz w:val="18"/>
                <w:szCs w:val="18"/>
              </w:rPr>
              <w:t>RCN or LCC support for marine mapping</w:t>
            </w:r>
          </w:p>
        </w:tc>
        <w:tc>
          <w:tcPr>
            <w:tcW w:w="4860" w:type="dxa"/>
          </w:tcPr>
          <w:p w:rsidR="001F62C9" w:rsidRPr="007E2998" w:rsidRDefault="001F62C9" w:rsidP="00711A2B">
            <w:pPr>
              <w:autoSpaceDE w:val="0"/>
              <w:autoSpaceDN w:val="0"/>
              <w:adjustRightInd w:val="0"/>
              <w:contextualSpacing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Consider support for </w:t>
            </w:r>
            <w:r w:rsidRPr="007E2998">
              <w:rPr>
                <w:rFonts w:cs="Times New Roman"/>
                <w:b/>
                <w:sz w:val="18"/>
                <w:szCs w:val="18"/>
              </w:rPr>
              <w:t>RCN proposal</w:t>
            </w:r>
          </w:p>
        </w:tc>
        <w:tc>
          <w:tcPr>
            <w:tcW w:w="1980" w:type="dxa"/>
          </w:tcPr>
          <w:p w:rsidR="001F62C9" w:rsidRPr="007E2998" w:rsidRDefault="001F62C9" w:rsidP="00711A2B">
            <w:pPr>
              <w:autoSpaceDE w:val="0"/>
              <w:autoSpaceDN w:val="0"/>
              <w:adjustRightInd w:val="0"/>
              <w:contextualSpacing/>
              <w:rPr>
                <w:rFonts w:cs="Times New Roman"/>
                <w:b/>
                <w:sz w:val="18"/>
                <w:szCs w:val="18"/>
              </w:rPr>
            </w:pPr>
            <w:r w:rsidRPr="007E2998">
              <w:rPr>
                <w:rFonts w:cs="Times New Roman"/>
                <w:b/>
                <w:sz w:val="18"/>
                <w:szCs w:val="18"/>
              </w:rPr>
              <w:t>$100k</w:t>
            </w:r>
          </w:p>
        </w:tc>
      </w:tr>
      <w:tr w:rsidR="001F62C9" w:rsidRPr="0083672F" w:rsidTr="0098212B">
        <w:trPr>
          <w:trHeight w:val="495"/>
        </w:trPr>
        <w:tc>
          <w:tcPr>
            <w:tcW w:w="2628" w:type="dxa"/>
            <w:vMerge/>
            <w:shd w:val="clear" w:color="auto" w:fill="auto"/>
          </w:tcPr>
          <w:p w:rsidR="001F62C9" w:rsidRDefault="001F62C9" w:rsidP="00711A2B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  <w:u w:val="single"/>
              </w:rPr>
            </w:pPr>
          </w:p>
        </w:tc>
        <w:tc>
          <w:tcPr>
            <w:tcW w:w="4230" w:type="dxa"/>
            <w:shd w:val="clear" w:color="auto" w:fill="auto"/>
          </w:tcPr>
          <w:p w:rsidR="001F62C9" w:rsidRPr="001F62C9" w:rsidRDefault="001F62C9" w:rsidP="00711A2B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 w:rsidRPr="001F62C9">
              <w:rPr>
                <w:rFonts w:cs="Times New Roman"/>
                <w:sz w:val="18"/>
                <w:szCs w:val="18"/>
              </w:rPr>
              <w:t>Consider expansions of consistent data layers into Canada</w:t>
            </w:r>
          </w:p>
        </w:tc>
        <w:tc>
          <w:tcPr>
            <w:tcW w:w="4860" w:type="dxa"/>
          </w:tcPr>
          <w:p w:rsidR="001F62C9" w:rsidRPr="001F62C9" w:rsidRDefault="001F62C9" w:rsidP="00711A2B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 w:rsidRPr="001F62C9">
              <w:rPr>
                <w:rFonts w:cs="Times New Roman"/>
                <w:sz w:val="18"/>
                <w:szCs w:val="18"/>
              </w:rPr>
              <w:t>Discuss with TNC and Canada</w:t>
            </w:r>
          </w:p>
        </w:tc>
        <w:tc>
          <w:tcPr>
            <w:tcW w:w="1980" w:type="dxa"/>
          </w:tcPr>
          <w:p w:rsidR="001F62C9" w:rsidRPr="001F62C9" w:rsidRDefault="001F62C9" w:rsidP="00711A2B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 w:rsidRPr="001F62C9">
              <w:rPr>
                <w:rFonts w:cs="Times New Roman"/>
                <w:sz w:val="18"/>
                <w:szCs w:val="18"/>
              </w:rPr>
              <w:t>TBD</w:t>
            </w:r>
          </w:p>
        </w:tc>
      </w:tr>
      <w:tr w:rsidR="00711A2B" w:rsidRPr="0083672F" w:rsidTr="0098212B">
        <w:trPr>
          <w:trHeight w:val="495"/>
        </w:trPr>
        <w:tc>
          <w:tcPr>
            <w:tcW w:w="2628" w:type="dxa"/>
            <w:shd w:val="clear" w:color="auto" w:fill="auto"/>
          </w:tcPr>
          <w:p w:rsidR="00711A2B" w:rsidRPr="00711A2B" w:rsidRDefault="00711A2B" w:rsidP="00711A2B">
            <w:pPr>
              <w:autoSpaceDE w:val="0"/>
              <w:autoSpaceDN w:val="0"/>
              <w:adjustRightInd w:val="0"/>
              <w:contextualSpacing/>
              <w:rPr>
                <w:rFonts w:cs="Times New Roman"/>
                <w:b/>
                <w:sz w:val="18"/>
                <w:szCs w:val="18"/>
              </w:rPr>
            </w:pPr>
            <w:r w:rsidRPr="00711A2B">
              <w:rPr>
                <w:rFonts w:cs="Times New Roman"/>
                <w:b/>
                <w:sz w:val="18"/>
                <w:szCs w:val="18"/>
              </w:rPr>
              <w:t>Need for additional commitment to science translation and conservation adoption</w:t>
            </w:r>
          </w:p>
        </w:tc>
        <w:tc>
          <w:tcPr>
            <w:tcW w:w="4230" w:type="dxa"/>
            <w:shd w:val="clear" w:color="auto" w:fill="auto"/>
          </w:tcPr>
          <w:p w:rsidR="00711A2B" w:rsidRPr="001F62C9" w:rsidRDefault="00711A2B" w:rsidP="00711A2B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Users guide and training for habitat maps; </w:t>
            </w:r>
          </w:p>
        </w:tc>
        <w:tc>
          <w:tcPr>
            <w:tcW w:w="4860" w:type="dxa"/>
          </w:tcPr>
          <w:p w:rsidR="00711A2B" w:rsidRPr="001F62C9" w:rsidRDefault="00711A2B" w:rsidP="00711A2B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Consider support for Users guide; provide staff support for science translation and conservation adoption</w:t>
            </w:r>
          </w:p>
        </w:tc>
        <w:tc>
          <w:tcPr>
            <w:tcW w:w="1980" w:type="dxa"/>
          </w:tcPr>
          <w:p w:rsidR="00711A2B" w:rsidRPr="001F62C9" w:rsidRDefault="00711A2B" w:rsidP="00711A2B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Approx. $30k for supporting users guide</w:t>
            </w:r>
          </w:p>
        </w:tc>
      </w:tr>
    </w:tbl>
    <w:p w:rsidR="003C5BEF" w:rsidRDefault="003C5BEF">
      <w:r>
        <w:lastRenderedPageBreak/>
        <w:t xml:space="preserve"> </w:t>
      </w:r>
    </w:p>
    <w:sectPr w:rsidR="003C5BEF" w:rsidSect="00882161">
      <w:headerReference w:type="default" r:id="rId6"/>
      <w:footerReference w:type="default" r:id="rId7"/>
      <w:pgSz w:w="15840" w:h="12240" w:orient="landscape"/>
      <w:pgMar w:top="90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1A2B" w:rsidRDefault="00711A2B" w:rsidP="008156A5">
      <w:pPr>
        <w:spacing w:after="0" w:line="240" w:lineRule="auto"/>
      </w:pPr>
      <w:r>
        <w:separator/>
      </w:r>
    </w:p>
  </w:endnote>
  <w:endnote w:type="continuationSeparator" w:id="0">
    <w:p w:rsidR="00711A2B" w:rsidRDefault="00711A2B" w:rsidP="00815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4438"/>
      <w:docPartObj>
        <w:docPartGallery w:val="Page Numbers (Bottom of Page)"/>
        <w:docPartUnique/>
      </w:docPartObj>
    </w:sdtPr>
    <w:sdtContent>
      <w:p w:rsidR="00711A2B" w:rsidRDefault="00E2421E">
        <w:pPr>
          <w:pStyle w:val="Footer"/>
          <w:jc w:val="center"/>
        </w:pPr>
        <w:fldSimple w:instr=" PAGE   \* MERGEFORMAT ">
          <w:r w:rsidR="00B05844">
            <w:rPr>
              <w:noProof/>
            </w:rPr>
            <w:t>1</w:t>
          </w:r>
        </w:fldSimple>
      </w:p>
    </w:sdtContent>
  </w:sdt>
  <w:p w:rsidR="00711A2B" w:rsidRDefault="00711A2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1A2B" w:rsidRDefault="00711A2B" w:rsidP="008156A5">
      <w:pPr>
        <w:spacing w:after="0" w:line="240" w:lineRule="auto"/>
      </w:pPr>
      <w:r>
        <w:separator/>
      </w:r>
    </w:p>
  </w:footnote>
  <w:footnote w:type="continuationSeparator" w:id="0">
    <w:p w:rsidR="00711A2B" w:rsidRDefault="00711A2B" w:rsidP="008156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A2B" w:rsidRPr="009C0339" w:rsidRDefault="00711A2B" w:rsidP="008156A5">
    <w:pPr>
      <w:pStyle w:val="Header"/>
      <w:jc w:val="center"/>
    </w:pPr>
    <w:r w:rsidRPr="004471F1">
      <w:t xml:space="preserve">Next Steps on </w:t>
    </w:r>
    <w:r w:rsidRPr="009C0339">
      <w:t xml:space="preserve">North Atlantic Landscape Conservation Cooperative Common Science Needs </w:t>
    </w:r>
    <w:r w:rsidRPr="00006AFB">
      <w:rPr>
        <w:b/>
      </w:rPr>
      <w:t xml:space="preserve">(actions </w:t>
    </w:r>
    <w:r>
      <w:rPr>
        <w:b/>
      </w:rPr>
      <w:t xml:space="preserve">or updates </w:t>
    </w:r>
    <w:r w:rsidRPr="00006AFB">
      <w:rPr>
        <w:b/>
      </w:rPr>
      <w:t xml:space="preserve">for </w:t>
    </w:r>
    <w:r>
      <w:rPr>
        <w:b/>
      </w:rPr>
      <w:t>Technical</w:t>
    </w:r>
    <w:r w:rsidRPr="00006AFB">
      <w:rPr>
        <w:b/>
      </w:rPr>
      <w:t xml:space="preserve"> Committee in bold)</w:t>
    </w:r>
  </w:p>
  <w:p w:rsidR="00711A2B" w:rsidRDefault="00711A2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672F"/>
    <w:rsid w:val="00006AFB"/>
    <w:rsid w:val="00011331"/>
    <w:rsid w:val="00044790"/>
    <w:rsid w:val="00070EB0"/>
    <w:rsid w:val="00071FE7"/>
    <w:rsid w:val="00074588"/>
    <w:rsid w:val="00076764"/>
    <w:rsid w:val="0008091F"/>
    <w:rsid w:val="00094352"/>
    <w:rsid w:val="000A4586"/>
    <w:rsid w:val="000B5B25"/>
    <w:rsid w:val="000E10CF"/>
    <w:rsid w:val="000E14F9"/>
    <w:rsid w:val="000F6723"/>
    <w:rsid w:val="00105837"/>
    <w:rsid w:val="00135654"/>
    <w:rsid w:val="00166CAF"/>
    <w:rsid w:val="00167F05"/>
    <w:rsid w:val="00170F55"/>
    <w:rsid w:val="00181A57"/>
    <w:rsid w:val="001A5C10"/>
    <w:rsid w:val="001B4AA9"/>
    <w:rsid w:val="001C558D"/>
    <w:rsid w:val="001C5847"/>
    <w:rsid w:val="001E5ACF"/>
    <w:rsid w:val="001F62C9"/>
    <w:rsid w:val="002218F2"/>
    <w:rsid w:val="002228A9"/>
    <w:rsid w:val="00233CEA"/>
    <w:rsid w:val="00243E84"/>
    <w:rsid w:val="00252312"/>
    <w:rsid w:val="00275B8A"/>
    <w:rsid w:val="00275F2F"/>
    <w:rsid w:val="002769BA"/>
    <w:rsid w:val="0028171A"/>
    <w:rsid w:val="0028674C"/>
    <w:rsid w:val="002A3EDB"/>
    <w:rsid w:val="002B19AC"/>
    <w:rsid w:val="002B2064"/>
    <w:rsid w:val="002D4DD6"/>
    <w:rsid w:val="002D78E6"/>
    <w:rsid w:val="002F2955"/>
    <w:rsid w:val="002F3774"/>
    <w:rsid w:val="003023C6"/>
    <w:rsid w:val="00303FE8"/>
    <w:rsid w:val="00305FA9"/>
    <w:rsid w:val="003300B3"/>
    <w:rsid w:val="00342244"/>
    <w:rsid w:val="00342446"/>
    <w:rsid w:val="00360C7F"/>
    <w:rsid w:val="00390705"/>
    <w:rsid w:val="0039076A"/>
    <w:rsid w:val="003A0DB5"/>
    <w:rsid w:val="003C5BEF"/>
    <w:rsid w:val="003D2B86"/>
    <w:rsid w:val="003D7620"/>
    <w:rsid w:val="003E6AD9"/>
    <w:rsid w:val="00416581"/>
    <w:rsid w:val="004218B5"/>
    <w:rsid w:val="00443F27"/>
    <w:rsid w:val="00445AD9"/>
    <w:rsid w:val="004471F1"/>
    <w:rsid w:val="0048309E"/>
    <w:rsid w:val="004A3491"/>
    <w:rsid w:val="004B0FA3"/>
    <w:rsid w:val="004E5007"/>
    <w:rsid w:val="00512CFE"/>
    <w:rsid w:val="00522618"/>
    <w:rsid w:val="00522949"/>
    <w:rsid w:val="0053043F"/>
    <w:rsid w:val="00545AB0"/>
    <w:rsid w:val="0056301A"/>
    <w:rsid w:val="00563660"/>
    <w:rsid w:val="005A6E49"/>
    <w:rsid w:val="005C4CE6"/>
    <w:rsid w:val="005D7C13"/>
    <w:rsid w:val="005E1692"/>
    <w:rsid w:val="005F0E86"/>
    <w:rsid w:val="005F35CE"/>
    <w:rsid w:val="00621167"/>
    <w:rsid w:val="0062556E"/>
    <w:rsid w:val="00651724"/>
    <w:rsid w:val="00656CD9"/>
    <w:rsid w:val="0066653F"/>
    <w:rsid w:val="00671D41"/>
    <w:rsid w:val="0067359A"/>
    <w:rsid w:val="00673FD5"/>
    <w:rsid w:val="006D50A7"/>
    <w:rsid w:val="006E1991"/>
    <w:rsid w:val="0070455F"/>
    <w:rsid w:val="00710B0D"/>
    <w:rsid w:val="00711A2B"/>
    <w:rsid w:val="00726288"/>
    <w:rsid w:val="0072696C"/>
    <w:rsid w:val="00737005"/>
    <w:rsid w:val="007533A7"/>
    <w:rsid w:val="007821E6"/>
    <w:rsid w:val="007E0CF4"/>
    <w:rsid w:val="007F0BF5"/>
    <w:rsid w:val="00804C3A"/>
    <w:rsid w:val="008058EF"/>
    <w:rsid w:val="008156A5"/>
    <w:rsid w:val="00823B03"/>
    <w:rsid w:val="0082729C"/>
    <w:rsid w:val="00834B50"/>
    <w:rsid w:val="0083672F"/>
    <w:rsid w:val="00845BFC"/>
    <w:rsid w:val="0084713A"/>
    <w:rsid w:val="00861B38"/>
    <w:rsid w:val="00866F5C"/>
    <w:rsid w:val="008700F6"/>
    <w:rsid w:val="00882161"/>
    <w:rsid w:val="008A28C6"/>
    <w:rsid w:val="008C213B"/>
    <w:rsid w:val="008D1C35"/>
    <w:rsid w:val="008F3120"/>
    <w:rsid w:val="009212DC"/>
    <w:rsid w:val="00962E39"/>
    <w:rsid w:val="00964DF4"/>
    <w:rsid w:val="00965172"/>
    <w:rsid w:val="0096644D"/>
    <w:rsid w:val="0098212B"/>
    <w:rsid w:val="0099104A"/>
    <w:rsid w:val="00993E18"/>
    <w:rsid w:val="00996045"/>
    <w:rsid w:val="009B4779"/>
    <w:rsid w:val="009B4AD1"/>
    <w:rsid w:val="009C0339"/>
    <w:rsid w:val="009D5B18"/>
    <w:rsid w:val="00A016E6"/>
    <w:rsid w:val="00A115AB"/>
    <w:rsid w:val="00A16123"/>
    <w:rsid w:val="00AA043D"/>
    <w:rsid w:val="00AA675E"/>
    <w:rsid w:val="00AC35E8"/>
    <w:rsid w:val="00AD3E85"/>
    <w:rsid w:val="00AE6F00"/>
    <w:rsid w:val="00B024B3"/>
    <w:rsid w:val="00B05844"/>
    <w:rsid w:val="00B06AF3"/>
    <w:rsid w:val="00B225F2"/>
    <w:rsid w:val="00B41DAE"/>
    <w:rsid w:val="00B605E0"/>
    <w:rsid w:val="00B64B59"/>
    <w:rsid w:val="00B65E2F"/>
    <w:rsid w:val="00B723EF"/>
    <w:rsid w:val="00B74C5B"/>
    <w:rsid w:val="00B85412"/>
    <w:rsid w:val="00B944CC"/>
    <w:rsid w:val="00B95B7D"/>
    <w:rsid w:val="00BB5FDF"/>
    <w:rsid w:val="00BC57E2"/>
    <w:rsid w:val="00BE1744"/>
    <w:rsid w:val="00BE6CDC"/>
    <w:rsid w:val="00BF59AE"/>
    <w:rsid w:val="00C2015C"/>
    <w:rsid w:val="00C5325D"/>
    <w:rsid w:val="00C54273"/>
    <w:rsid w:val="00C74519"/>
    <w:rsid w:val="00C91C6C"/>
    <w:rsid w:val="00CB55C5"/>
    <w:rsid w:val="00D02CDB"/>
    <w:rsid w:val="00D05C58"/>
    <w:rsid w:val="00D44DF0"/>
    <w:rsid w:val="00D53E8C"/>
    <w:rsid w:val="00D63940"/>
    <w:rsid w:val="00D94942"/>
    <w:rsid w:val="00D96752"/>
    <w:rsid w:val="00DB2C82"/>
    <w:rsid w:val="00DC68F9"/>
    <w:rsid w:val="00DC7EE1"/>
    <w:rsid w:val="00E01533"/>
    <w:rsid w:val="00E216E7"/>
    <w:rsid w:val="00E2421E"/>
    <w:rsid w:val="00E27714"/>
    <w:rsid w:val="00E511E0"/>
    <w:rsid w:val="00E96949"/>
    <w:rsid w:val="00EB338B"/>
    <w:rsid w:val="00EC4F13"/>
    <w:rsid w:val="00ED3D3C"/>
    <w:rsid w:val="00F106E8"/>
    <w:rsid w:val="00F237BD"/>
    <w:rsid w:val="00F2453F"/>
    <w:rsid w:val="00F4000D"/>
    <w:rsid w:val="00F420D5"/>
    <w:rsid w:val="00F617E0"/>
    <w:rsid w:val="00F66592"/>
    <w:rsid w:val="00F7683F"/>
    <w:rsid w:val="00F9759F"/>
    <w:rsid w:val="00FA4913"/>
    <w:rsid w:val="00FB1E7D"/>
    <w:rsid w:val="00FB2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6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56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56A5"/>
  </w:style>
  <w:style w:type="paragraph" w:styleId="Footer">
    <w:name w:val="footer"/>
    <w:basedOn w:val="Normal"/>
    <w:link w:val="FooterChar"/>
    <w:uiPriority w:val="99"/>
    <w:unhideWhenUsed/>
    <w:rsid w:val="008156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6A5"/>
  </w:style>
  <w:style w:type="paragraph" w:styleId="BalloonText">
    <w:name w:val="Balloon Text"/>
    <w:basedOn w:val="Normal"/>
    <w:link w:val="BalloonTextChar"/>
    <w:uiPriority w:val="99"/>
    <w:semiHidden/>
    <w:unhideWhenUsed/>
    <w:rsid w:val="00815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6A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165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0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1471</Words>
  <Characters>8386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Fish &amp; Wildlife Service</Company>
  <LinksUpToDate>false</LinksUpToDate>
  <CharactersWithSpaces>9838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amilliken</dc:creator>
  <cp:keywords/>
  <dc:description/>
  <cp:lastModifiedBy>amilliken</cp:lastModifiedBy>
  <cp:revision>2</cp:revision>
  <cp:lastPrinted>2011-10-23T22:05:00Z</cp:lastPrinted>
  <dcterms:created xsi:type="dcterms:W3CDTF">2011-10-29T20:26:00Z</dcterms:created>
  <dcterms:modified xsi:type="dcterms:W3CDTF">2011-10-29T20:26:00Z</dcterms:modified>
</cp:coreProperties>
</file>