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38" w:rsidRPr="0083003F" w:rsidRDefault="00C71638" w:rsidP="00190614">
      <w:pPr>
        <w:jc w:val="center"/>
        <w:outlineLvl w:val="0"/>
        <w:rPr>
          <w:b/>
          <w:bCs/>
          <w:sz w:val="28"/>
          <w:szCs w:val="28"/>
        </w:rPr>
      </w:pPr>
      <w:r w:rsidRPr="0083003F">
        <w:rPr>
          <w:b/>
          <w:bCs/>
          <w:sz w:val="28"/>
          <w:szCs w:val="28"/>
        </w:rPr>
        <w:t>Northeast Regional Conservation Needs Program: Topic 1</w:t>
      </w:r>
    </w:p>
    <w:p w:rsidR="00C71638" w:rsidRPr="0083003F" w:rsidRDefault="00C71638" w:rsidP="0011233A">
      <w:pPr>
        <w:jc w:val="center"/>
        <w:rPr>
          <w:b/>
          <w:bCs/>
          <w:sz w:val="28"/>
          <w:szCs w:val="28"/>
        </w:rPr>
      </w:pPr>
    </w:p>
    <w:p w:rsidR="00C71638" w:rsidRPr="0083003F" w:rsidRDefault="00C71638" w:rsidP="00190614">
      <w:pPr>
        <w:tabs>
          <w:tab w:val="left" w:pos="2160"/>
          <w:tab w:val="left" w:pos="3600"/>
        </w:tabs>
        <w:ind w:left="3600" w:hanging="3600"/>
        <w:jc w:val="center"/>
        <w:outlineLvl w:val="0"/>
        <w:rPr>
          <w:sz w:val="28"/>
          <w:szCs w:val="28"/>
        </w:rPr>
      </w:pPr>
      <w:r w:rsidRPr="0083003F">
        <w:rPr>
          <w:sz w:val="28"/>
          <w:szCs w:val="28"/>
        </w:rPr>
        <w:t>Project Title:</w:t>
      </w:r>
    </w:p>
    <w:p w:rsidR="00C71638" w:rsidRPr="0083003F" w:rsidRDefault="00C71638" w:rsidP="008D3E10">
      <w:pPr>
        <w:tabs>
          <w:tab w:val="left" w:pos="2160"/>
        </w:tabs>
        <w:jc w:val="center"/>
        <w:rPr>
          <w:b/>
          <w:bCs/>
          <w:i/>
          <w:iCs/>
          <w:sz w:val="28"/>
          <w:szCs w:val="28"/>
        </w:rPr>
      </w:pPr>
      <w:r w:rsidRPr="0083003F">
        <w:rPr>
          <w:b/>
          <w:bCs/>
          <w:sz w:val="28"/>
          <w:szCs w:val="28"/>
        </w:rPr>
        <w:t xml:space="preserve">Development of a Northeast Regional Coastal and Marine Ecological Classification Standard </w:t>
      </w:r>
    </w:p>
    <w:p w:rsidR="00C71638" w:rsidRPr="00CA29F5" w:rsidRDefault="00C71638" w:rsidP="004B0891">
      <w:pPr>
        <w:jc w:val="center"/>
        <w:rPr>
          <w:b/>
          <w:bCs/>
          <w:sz w:val="22"/>
          <w:szCs w:val="22"/>
        </w:rPr>
      </w:pPr>
    </w:p>
    <w:p w:rsidR="00C71638" w:rsidRPr="00CA29F5" w:rsidRDefault="00C71638" w:rsidP="00190614">
      <w:pPr>
        <w:tabs>
          <w:tab w:val="left" w:pos="3600"/>
        </w:tabs>
        <w:outlineLvl w:val="0"/>
        <w:rPr>
          <w:b/>
          <w:bCs/>
          <w:sz w:val="22"/>
          <w:szCs w:val="22"/>
        </w:rPr>
      </w:pPr>
      <w:r w:rsidRPr="00CA29F5">
        <w:rPr>
          <w:b/>
          <w:bCs/>
          <w:sz w:val="22"/>
          <w:szCs w:val="22"/>
        </w:rPr>
        <w:t xml:space="preserve">Project Director: </w:t>
      </w:r>
      <w:r w:rsidRPr="00CA29F5">
        <w:rPr>
          <w:b/>
          <w:bCs/>
          <w:sz w:val="22"/>
          <w:szCs w:val="22"/>
        </w:rPr>
        <w:tab/>
      </w:r>
    </w:p>
    <w:p w:rsidR="00C71638" w:rsidRPr="00CA29F5" w:rsidRDefault="00C71638" w:rsidP="00190614">
      <w:pPr>
        <w:tabs>
          <w:tab w:val="left" w:pos="3600"/>
        </w:tabs>
        <w:outlineLvl w:val="0"/>
        <w:rPr>
          <w:b/>
          <w:bCs/>
          <w:sz w:val="22"/>
          <w:szCs w:val="22"/>
        </w:rPr>
      </w:pPr>
      <w:r w:rsidRPr="00CA29F5">
        <w:rPr>
          <w:b/>
          <w:bCs/>
          <w:sz w:val="22"/>
          <w:szCs w:val="22"/>
        </w:rPr>
        <w:t>Mark G. Anderson, Ph.D.</w:t>
      </w:r>
      <w:r w:rsidR="00780176">
        <w:rPr>
          <w:b/>
          <w:bCs/>
          <w:sz w:val="22"/>
          <w:szCs w:val="22"/>
        </w:rPr>
        <w:t xml:space="preserve"> </w:t>
      </w:r>
      <w:r w:rsidRPr="00CA29F5">
        <w:rPr>
          <w:b/>
          <w:bCs/>
          <w:sz w:val="22"/>
          <w:szCs w:val="22"/>
        </w:rPr>
        <w:t>Director of Conservation Science</w:t>
      </w:r>
    </w:p>
    <w:p w:rsidR="00C71638" w:rsidRPr="00F843B3" w:rsidRDefault="00C71638" w:rsidP="00190614">
      <w:pPr>
        <w:tabs>
          <w:tab w:val="left" w:pos="3600"/>
        </w:tabs>
        <w:outlineLvl w:val="0"/>
        <w:rPr>
          <w:bCs/>
          <w:sz w:val="22"/>
          <w:szCs w:val="22"/>
        </w:rPr>
      </w:pPr>
      <w:r w:rsidRPr="00F843B3">
        <w:rPr>
          <w:bCs/>
          <w:sz w:val="22"/>
          <w:szCs w:val="22"/>
        </w:rPr>
        <w:t xml:space="preserve">The Nature Conservancy, Eastern </w:t>
      </w:r>
      <w:r w:rsidR="00780176" w:rsidRPr="00F843B3">
        <w:rPr>
          <w:bCs/>
          <w:sz w:val="22"/>
          <w:szCs w:val="22"/>
        </w:rPr>
        <w:t>Division</w:t>
      </w:r>
      <w:r w:rsidR="0083003F">
        <w:rPr>
          <w:bCs/>
          <w:sz w:val="22"/>
          <w:szCs w:val="22"/>
        </w:rPr>
        <w:t xml:space="preserve">, </w:t>
      </w:r>
      <w:r w:rsidRPr="00F843B3">
        <w:rPr>
          <w:bCs/>
          <w:sz w:val="22"/>
          <w:szCs w:val="22"/>
        </w:rPr>
        <w:t>99 Bedford Street, 5</w:t>
      </w:r>
      <w:r w:rsidRPr="00F843B3">
        <w:rPr>
          <w:bCs/>
          <w:sz w:val="22"/>
          <w:szCs w:val="22"/>
          <w:vertAlign w:val="superscript"/>
        </w:rPr>
        <w:t>th</w:t>
      </w:r>
      <w:r w:rsidRPr="00F843B3">
        <w:rPr>
          <w:bCs/>
          <w:sz w:val="22"/>
          <w:szCs w:val="22"/>
        </w:rPr>
        <w:t xml:space="preserve"> </w:t>
      </w:r>
      <w:r w:rsidR="00F843B3">
        <w:rPr>
          <w:bCs/>
          <w:sz w:val="22"/>
          <w:szCs w:val="22"/>
        </w:rPr>
        <w:t>F</w:t>
      </w:r>
      <w:r w:rsidRPr="00F843B3">
        <w:rPr>
          <w:bCs/>
          <w:sz w:val="22"/>
          <w:szCs w:val="22"/>
        </w:rPr>
        <w:t>loor, Boston, MA 02111</w:t>
      </w:r>
    </w:p>
    <w:p w:rsidR="00C71638" w:rsidRPr="00F843B3" w:rsidRDefault="00C71638" w:rsidP="00DB0E20">
      <w:pPr>
        <w:tabs>
          <w:tab w:val="left" w:pos="3600"/>
        </w:tabs>
        <w:outlineLvl w:val="0"/>
        <w:rPr>
          <w:bCs/>
          <w:sz w:val="22"/>
          <w:szCs w:val="22"/>
        </w:rPr>
      </w:pPr>
      <w:proofErr w:type="spellStart"/>
      <w:proofErr w:type="gramStart"/>
      <w:r w:rsidRPr="00F843B3">
        <w:rPr>
          <w:bCs/>
          <w:sz w:val="22"/>
          <w:szCs w:val="22"/>
        </w:rPr>
        <w:t>tel</w:t>
      </w:r>
      <w:proofErr w:type="spellEnd"/>
      <w:proofErr w:type="gramEnd"/>
      <w:r w:rsidRPr="00F843B3">
        <w:rPr>
          <w:bCs/>
          <w:sz w:val="22"/>
          <w:szCs w:val="22"/>
        </w:rPr>
        <w:t>: 617-532-8354, fax: 617-532-8400</w:t>
      </w:r>
      <w:r w:rsidR="0083003F">
        <w:rPr>
          <w:bCs/>
          <w:sz w:val="22"/>
          <w:szCs w:val="22"/>
        </w:rPr>
        <w:t xml:space="preserve"> </w:t>
      </w:r>
      <w:r w:rsidRPr="00F843B3">
        <w:rPr>
          <w:bCs/>
          <w:sz w:val="22"/>
          <w:szCs w:val="22"/>
        </w:rPr>
        <w:t xml:space="preserve"> </w:t>
      </w:r>
      <w:hyperlink r:id="rId8" w:history="1">
        <w:r w:rsidRPr="00F843B3">
          <w:rPr>
            <w:rStyle w:val="Hyperlink"/>
            <w:bCs/>
            <w:sz w:val="22"/>
            <w:szCs w:val="22"/>
          </w:rPr>
          <w:t>manderson@tnc.org</w:t>
        </w:r>
      </w:hyperlink>
    </w:p>
    <w:p w:rsidR="00C71638" w:rsidRPr="00CA29F5" w:rsidRDefault="00C71638" w:rsidP="0011233A">
      <w:pPr>
        <w:rPr>
          <w:b/>
          <w:bCs/>
          <w:sz w:val="22"/>
          <w:szCs w:val="22"/>
        </w:rPr>
      </w:pPr>
    </w:p>
    <w:p w:rsidR="00C71638" w:rsidRPr="00CA29F5" w:rsidRDefault="00C71638" w:rsidP="00CA29F5">
      <w:pPr>
        <w:tabs>
          <w:tab w:val="left" w:pos="3600"/>
        </w:tabs>
        <w:outlineLvl w:val="0"/>
        <w:rPr>
          <w:b/>
          <w:bCs/>
          <w:sz w:val="22"/>
          <w:szCs w:val="22"/>
        </w:rPr>
        <w:sectPr w:rsidR="00C71638" w:rsidRPr="00CA29F5">
          <w:footerReference w:type="default" r:id="rId9"/>
          <w:pgSz w:w="12240" w:h="15840"/>
          <w:pgMar w:top="1440" w:right="1440" w:bottom="1440" w:left="1440" w:header="720" w:footer="720" w:gutter="0"/>
          <w:cols w:space="720"/>
          <w:docGrid w:linePitch="360"/>
        </w:sectPr>
      </w:pPr>
      <w:r w:rsidRPr="00CA29F5">
        <w:rPr>
          <w:b/>
          <w:bCs/>
          <w:sz w:val="22"/>
          <w:szCs w:val="22"/>
        </w:rPr>
        <w:t>Principal Investig</w:t>
      </w:r>
      <w:r>
        <w:rPr>
          <w:b/>
          <w:bCs/>
          <w:sz w:val="22"/>
          <w:szCs w:val="22"/>
        </w:rPr>
        <w:t>ators:</w:t>
      </w:r>
    </w:p>
    <w:p w:rsidR="00C71638" w:rsidRPr="00CA29F5" w:rsidRDefault="00C71638" w:rsidP="0011233A">
      <w:pPr>
        <w:tabs>
          <w:tab w:val="left" w:pos="3600"/>
        </w:tabs>
        <w:rPr>
          <w:sz w:val="22"/>
          <w:szCs w:val="22"/>
        </w:rPr>
      </w:pPr>
      <w:r w:rsidRPr="00CA29F5">
        <w:rPr>
          <w:sz w:val="22"/>
          <w:szCs w:val="22"/>
        </w:rPr>
        <w:lastRenderedPageBreak/>
        <w:t>Jennifer Greene</w:t>
      </w:r>
      <w:r w:rsidR="0088408B">
        <w:rPr>
          <w:sz w:val="22"/>
          <w:szCs w:val="22"/>
        </w:rPr>
        <w:t>,</w:t>
      </w:r>
      <w:r w:rsidRPr="00CA29F5">
        <w:rPr>
          <w:sz w:val="22"/>
          <w:szCs w:val="22"/>
        </w:rPr>
        <w:t xml:space="preserve"> M</w:t>
      </w:r>
      <w:r w:rsidR="0088408B">
        <w:rPr>
          <w:sz w:val="22"/>
          <w:szCs w:val="22"/>
        </w:rPr>
        <w:t>.</w:t>
      </w:r>
      <w:r w:rsidRPr="00CA29F5">
        <w:rPr>
          <w:sz w:val="22"/>
          <w:szCs w:val="22"/>
        </w:rPr>
        <w:t>S.</w:t>
      </w:r>
      <w:r w:rsidR="0088408B">
        <w:rPr>
          <w:sz w:val="22"/>
          <w:szCs w:val="22"/>
        </w:rPr>
        <w:t xml:space="preserve"> </w:t>
      </w:r>
      <w:r w:rsidRPr="00CA29F5">
        <w:rPr>
          <w:sz w:val="22"/>
          <w:szCs w:val="22"/>
        </w:rPr>
        <w:t xml:space="preserve">Marine </w:t>
      </w:r>
      <w:r w:rsidR="00F843B3">
        <w:rPr>
          <w:sz w:val="22"/>
          <w:szCs w:val="22"/>
        </w:rPr>
        <w:t>Scientist</w:t>
      </w:r>
      <w:r w:rsidRPr="00CA29F5">
        <w:rPr>
          <w:sz w:val="22"/>
          <w:szCs w:val="22"/>
        </w:rPr>
        <w:t xml:space="preserve"> </w:t>
      </w:r>
    </w:p>
    <w:p w:rsidR="00C71638" w:rsidRPr="00CA29F5" w:rsidRDefault="00C71638" w:rsidP="00A015BE">
      <w:pPr>
        <w:tabs>
          <w:tab w:val="left" w:pos="3600"/>
        </w:tabs>
        <w:rPr>
          <w:sz w:val="22"/>
          <w:szCs w:val="22"/>
        </w:rPr>
      </w:pPr>
      <w:r w:rsidRPr="00CA29F5">
        <w:rPr>
          <w:sz w:val="22"/>
          <w:szCs w:val="22"/>
        </w:rPr>
        <w:t>The Nature Conservancy, Eastern Region</w:t>
      </w:r>
    </w:p>
    <w:p w:rsidR="00C71638" w:rsidRPr="00CA29F5" w:rsidRDefault="00C71638" w:rsidP="00190614">
      <w:pPr>
        <w:tabs>
          <w:tab w:val="left" w:pos="3600"/>
        </w:tabs>
        <w:outlineLvl w:val="0"/>
        <w:rPr>
          <w:sz w:val="22"/>
          <w:szCs w:val="22"/>
        </w:rPr>
      </w:pPr>
      <w:r w:rsidRPr="00CA29F5">
        <w:rPr>
          <w:sz w:val="22"/>
          <w:szCs w:val="22"/>
        </w:rPr>
        <w:t>99 Bedford Street, 5</w:t>
      </w:r>
      <w:r w:rsidRPr="00CA29F5">
        <w:rPr>
          <w:sz w:val="22"/>
          <w:szCs w:val="22"/>
          <w:vertAlign w:val="superscript"/>
        </w:rPr>
        <w:t>th</w:t>
      </w:r>
      <w:r w:rsidRPr="00CA29F5">
        <w:rPr>
          <w:sz w:val="22"/>
          <w:szCs w:val="22"/>
        </w:rPr>
        <w:t xml:space="preserve"> </w:t>
      </w:r>
      <w:r w:rsidR="00F843B3">
        <w:rPr>
          <w:sz w:val="22"/>
          <w:szCs w:val="22"/>
        </w:rPr>
        <w:t>F</w:t>
      </w:r>
      <w:r w:rsidRPr="00CA29F5">
        <w:rPr>
          <w:sz w:val="22"/>
          <w:szCs w:val="22"/>
        </w:rPr>
        <w:t>loor, Boston, MA 02111</w:t>
      </w:r>
    </w:p>
    <w:p w:rsidR="009519E3" w:rsidRDefault="00C71638" w:rsidP="00190614">
      <w:pPr>
        <w:tabs>
          <w:tab w:val="left" w:pos="3600"/>
        </w:tabs>
        <w:outlineLvl w:val="0"/>
        <w:rPr>
          <w:sz w:val="22"/>
          <w:szCs w:val="22"/>
        </w:rPr>
      </w:pPr>
      <w:proofErr w:type="spellStart"/>
      <w:proofErr w:type="gramStart"/>
      <w:r w:rsidRPr="00CA29F5">
        <w:rPr>
          <w:sz w:val="22"/>
          <w:szCs w:val="22"/>
        </w:rPr>
        <w:t>tel</w:t>
      </w:r>
      <w:proofErr w:type="spellEnd"/>
      <w:proofErr w:type="gramEnd"/>
      <w:r w:rsidRPr="00CA29F5">
        <w:rPr>
          <w:sz w:val="22"/>
          <w:szCs w:val="22"/>
        </w:rPr>
        <w:t>: 617-532-83</w:t>
      </w:r>
      <w:r w:rsidR="00F843B3">
        <w:rPr>
          <w:sz w:val="22"/>
          <w:szCs w:val="22"/>
        </w:rPr>
        <w:t>53</w:t>
      </w:r>
      <w:r w:rsidRPr="00CA29F5">
        <w:rPr>
          <w:sz w:val="22"/>
          <w:szCs w:val="22"/>
        </w:rPr>
        <w:t>, fax: 617-532-8400</w:t>
      </w:r>
    </w:p>
    <w:p w:rsidR="00C71638" w:rsidRPr="00CA29F5" w:rsidRDefault="00F5733E" w:rsidP="00190614">
      <w:pPr>
        <w:tabs>
          <w:tab w:val="left" w:pos="3600"/>
        </w:tabs>
        <w:outlineLvl w:val="0"/>
        <w:rPr>
          <w:sz w:val="22"/>
          <w:szCs w:val="22"/>
        </w:rPr>
      </w:pPr>
      <w:hyperlink r:id="rId10" w:history="1">
        <w:r w:rsidR="009519E3" w:rsidRPr="00BE3FB2">
          <w:rPr>
            <w:rStyle w:val="Hyperlink"/>
            <w:bCs/>
            <w:sz w:val="22"/>
            <w:szCs w:val="22"/>
          </w:rPr>
          <w:t>jgreene@tnc.org</w:t>
        </w:r>
      </w:hyperlink>
    </w:p>
    <w:p w:rsidR="00C71638" w:rsidRPr="00CA29F5" w:rsidRDefault="00C71638" w:rsidP="00190614">
      <w:pPr>
        <w:tabs>
          <w:tab w:val="left" w:pos="3600"/>
        </w:tabs>
        <w:outlineLvl w:val="0"/>
        <w:rPr>
          <w:sz w:val="22"/>
          <w:szCs w:val="22"/>
        </w:rPr>
      </w:pPr>
    </w:p>
    <w:p w:rsidR="00C71638" w:rsidRPr="00CA29F5" w:rsidRDefault="00C71638" w:rsidP="006615FA">
      <w:pPr>
        <w:tabs>
          <w:tab w:val="left" w:pos="3600"/>
        </w:tabs>
        <w:outlineLvl w:val="0"/>
        <w:rPr>
          <w:sz w:val="22"/>
          <w:szCs w:val="22"/>
        </w:rPr>
      </w:pPr>
      <w:r w:rsidRPr="00CA29F5">
        <w:rPr>
          <w:sz w:val="22"/>
          <w:szCs w:val="22"/>
        </w:rPr>
        <w:t>Kathryn Ford, Ph.D.</w:t>
      </w:r>
    </w:p>
    <w:p w:rsidR="00C71638" w:rsidRDefault="00C71638" w:rsidP="006615FA">
      <w:pPr>
        <w:tabs>
          <w:tab w:val="left" w:pos="3600"/>
        </w:tabs>
        <w:outlineLvl w:val="0"/>
        <w:rPr>
          <w:sz w:val="22"/>
          <w:szCs w:val="22"/>
        </w:rPr>
      </w:pPr>
      <w:r w:rsidRPr="00CA29F5">
        <w:rPr>
          <w:sz w:val="22"/>
          <w:szCs w:val="22"/>
        </w:rPr>
        <w:t>Massachusetts</w:t>
      </w:r>
      <w:r>
        <w:rPr>
          <w:sz w:val="22"/>
          <w:szCs w:val="22"/>
        </w:rPr>
        <w:t xml:space="preserve"> Department of Fish and Game</w:t>
      </w:r>
    </w:p>
    <w:p w:rsidR="00C71638" w:rsidRPr="00CA29F5" w:rsidRDefault="00C71638" w:rsidP="006615FA">
      <w:pPr>
        <w:tabs>
          <w:tab w:val="left" w:pos="3600"/>
        </w:tabs>
        <w:outlineLvl w:val="0"/>
        <w:rPr>
          <w:sz w:val="22"/>
          <w:szCs w:val="22"/>
        </w:rPr>
      </w:pPr>
      <w:r w:rsidRPr="00CA29F5">
        <w:rPr>
          <w:sz w:val="22"/>
          <w:szCs w:val="22"/>
        </w:rPr>
        <w:t>Division of Marine Fisheries</w:t>
      </w:r>
    </w:p>
    <w:p w:rsidR="00C71638" w:rsidRDefault="00C71638" w:rsidP="006615FA">
      <w:pPr>
        <w:tabs>
          <w:tab w:val="left" w:pos="3600"/>
        </w:tabs>
        <w:outlineLvl w:val="0"/>
        <w:rPr>
          <w:sz w:val="22"/>
          <w:szCs w:val="22"/>
        </w:rPr>
      </w:pPr>
      <w:r w:rsidRPr="00CA29F5">
        <w:rPr>
          <w:sz w:val="22"/>
          <w:szCs w:val="22"/>
        </w:rPr>
        <w:t>1213 Purchase Street, 3</w:t>
      </w:r>
      <w:r w:rsidRPr="00CA29F5">
        <w:rPr>
          <w:sz w:val="22"/>
          <w:szCs w:val="22"/>
          <w:vertAlign w:val="superscript"/>
        </w:rPr>
        <w:t>rd</w:t>
      </w:r>
      <w:r w:rsidRPr="00CA29F5">
        <w:rPr>
          <w:sz w:val="22"/>
          <w:szCs w:val="22"/>
        </w:rPr>
        <w:t xml:space="preserve"> Floor, New Bedford, MA 02740</w:t>
      </w:r>
    </w:p>
    <w:p w:rsidR="00C71638" w:rsidRPr="00CA29F5" w:rsidRDefault="00C71638" w:rsidP="00190614">
      <w:pPr>
        <w:tabs>
          <w:tab w:val="left" w:pos="3600"/>
        </w:tabs>
        <w:outlineLvl w:val="0"/>
        <w:rPr>
          <w:sz w:val="22"/>
          <w:szCs w:val="22"/>
        </w:rPr>
      </w:pPr>
      <w:proofErr w:type="spellStart"/>
      <w:proofErr w:type="gramStart"/>
      <w:r w:rsidRPr="00CA29F5">
        <w:rPr>
          <w:sz w:val="22"/>
          <w:szCs w:val="22"/>
        </w:rPr>
        <w:lastRenderedPageBreak/>
        <w:t>tel</w:t>
      </w:r>
      <w:proofErr w:type="spellEnd"/>
      <w:proofErr w:type="gramEnd"/>
      <w:r w:rsidRPr="00CA29F5">
        <w:rPr>
          <w:sz w:val="22"/>
          <w:szCs w:val="22"/>
        </w:rPr>
        <w:t xml:space="preserve">: 508-990-2860 x145 </w:t>
      </w:r>
      <w:hyperlink r:id="rId11" w:history="1">
        <w:r w:rsidRPr="00CA29F5">
          <w:rPr>
            <w:rStyle w:val="Hyperlink"/>
            <w:sz w:val="22"/>
            <w:szCs w:val="22"/>
          </w:rPr>
          <w:t>kathryn.ford@state.ma.us</w:t>
        </w:r>
      </w:hyperlink>
    </w:p>
    <w:p w:rsidR="00C71638" w:rsidRPr="00CA29F5" w:rsidRDefault="00C71638" w:rsidP="00C010CC">
      <w:pPr>
        <w:tabs>
          <w:tab w:val="left" w:pos="3600"/>
        </w:tabs>
        <w:outlineLvl w:val="0"/>
        <w:rPr>
          <w:sz w:val="22"/>
          <w:szCs w:val="22"/>
        </w:rPr>
      </w:pPr>
    </w:p>
    <w:p w:rsidR="00C71638" w:rsidRPr="00CA29F5" w:rsidRDefault="00C71638" w:rsidP="00C010CC">
      <w:pPr>
        <w:tabs>
          <w:tab w:val="left" w:pos="3600"/>
        </w:tabs>
        <w:outlineLvl w:val="0"/>
        <w:rPr>
          <w:sz w:val="22"/>
          <w:szCs w:val="22"/>
        </w:rPr>
      </w:pPr>
      <w:r w:rsidRPr="00CA29F5">
        <w:rPr>
          <w:sz w:val="22"/>
          <w:szCs w:val="22"/>
        </w:rPr>
        <w:t>John W. King, Ph.D.</w:t>
      </w:r>
    </w:p>
    <w:p w:rsidR="00C71638" w:rsidRPr="00CA29F5" w:rsidRDefault="00C71638" w:rsidP="00C010CC">
      <w:pPr>
        <w:tabs>
          <w:tab w:val="left" w:pos="3600"/>
        </w:tabs>
        <w:outlineLvl w:val="0"/>
        <w:rPr>
          <w:sz w:val="22"/>
          <w:szCs w:val="22"/>
        </w:rPr>
      </w:pPr>
      <w:r w:rsidRPr="00CA29F5">
        <w:rPr>
          <w:sz w:val="22"/>
          <w:szCs w:val="22"/>
        </w:rPr>
        <w:t>Graduate School of Oceanography University of Rhode Island</w:t>
      </w:r>
    </w:p>
    <w:p w:rsidR="00C71638" w:rsidRPr="00CA29F5" w:rsidRDefault="00C71638" w:rsidP="00C010CC">
      <w:pPr>
        <w:tabs>
          <w:tab w:val="left" w:pos="3600"/>
        </w:tabs>
        <w:outlineLvl w:val="0"/>
        <w:rPr>
          <w:sz w:val="22"/>
          <w:szCs w:val="22"/>
        </w:rPr>
      </w:pPr>
      <w:r w:rsidRPr="00CA29F5">
        <w:rPr>
          <w:sz w:val="22"/>
          <w:szCs w:val="22"/>
        </w:rPr>
        <w:t>South Ferry Road, Narragansett, RI 02882</w:t>
      </w:r>
    </w:p>
    <w:p w:rsidR="0088408B" w:rsidRDefault="00C71638" w:rsidP="00C010CC">
      <w:pPr>
        <w:tabs>
          <w:tab w:val="left" w:pos="3600"/>
        </w:tabs>
        <w:outlineLvl w:val="0"/>
        <w:rPr>
          <w:sz w:val="22"/>
          <w:szCs w:val="22"/>
        </w:rPr>
      </w:pPr>
      <w:proofErr w:type="spellStart"/>
      <w:proofErr w:type="gramStart"/>
      <w:r w:rsidRPr="00CA29F5">
        <w:rPr>
          <w:sz w:val="22"/>
          <w:szCs w:val="22"/>
        </w:rPr>
        <w:t>tel</w:t>
      </w:r>
      <w:proofErr w:type="spellEnd"/>
      <w:proofErr w:type="gramEnd"/>
      <w:r w:rsidRPr="00CA29F5">
        <w:rPr>
          <w:sz w:val="22"/>
          <w:szCs w:val="22"/>
        </w:rPr>
        <w:t>: 401-874-6182</w:t>
      </w:r>
    </w:p>
    <w:p w:rsidR="0088408B" w:rsidRPr="00CA29F5" w:rsidRDefault="00F5733E" w:rsidP="00C010CC">
      <w:pPr>
        <w:tabs>
          <w:tab w:val="left" w:pos="3600"/>
        </w:tabs>
        <w:outlineLvl w:val="0"/>
        <w:rPr>
          <w:sz w:val="22"/>
          <w:szCs w:val="22"/>
        </w:rPr>
      </w:pPr>
      <w:hyperlink r:id="rId12" w:history="1">
        <w:r w:rsidR="0088408B" w:rsidRPr="00856527">
          <w:rPr>
            <w:rStyle w:val="Hyperlink"/>
            <w:sz w:val="22"/>
            <w:szCs w:val="22"/>
          </w:rPr>
          <w:t>jking@gso.uri.edu</w:t>
        </w:r>
      </w:hyperlink>
    </w:p>
    <w:p w:rsidR="00C71638" w:rsidRPr="00CA29F5" w:rsidRDefault="00C71638" w:rsidP="00190614">
      <w:pPr>
        <w:tabs>
          <w:tab w:val="left" w:pos="3600"/>
        </w:tabs>
        <w:outlineLvl w:val="0"/>
        <w:rPr>
          <w:sz w:val="22"/>
          <w:szCs w:val="22"/>
        </w:rPr>
        <w:sectPr w:rsidR="00C71638" w:rsidRPr="00CA29F5">
          <w:type w:val="continuous"/>
          <w:pgSz w:w="12240" w:h="15840"/>
          <w:pgMar w:top="1440" w:right="1440" w:bottom="1440" w:left="1440" w:header="720" w:footer="720" w:gutter="0"/>
          <w:cols w:num="2" w:space="720" w:equalWidth="0">
            <w:col w:w="4320" w:space="720"/>
            <w:col w:w="3600"/>
          </w:cols>
          <w:docGrid w:linePitch="360"/>
        </w:sectPr>
      </w:pPr>
    </w:p>
    <w:p w:rsidR="00C71638" w:rsidRPr="00CA29F5" w:rsidRDefault="00C71638" w:rsidP="00190614">
      <w:pPr>
        <w:tabs>
          <w:tab w:val="left" w:pos="3600"/>
        </w:tabs>
        <w:outlineLvl w:val="0"/>
        <w:rPr>
          <w:b/>
          <w:bCs/>
          <w:sz w:val="22"/>
          <w:szCs w:val="22"/>
        </w:rPr>
      </w:pPr>
    </w:p>
    <w:p w:rsidR="00C71638" w:rsidRPr="00CA29F5" w:rsidRDefault="00C71638" w:rsidP="00190614">
      <w:pPr>
        <w:tabs>
          <w:tab w:val="left" w:pos="3600"/>
        </w:tabs>
        <w:outlineLvl w:val="0"/>
        <w:rPr>
          <w:b/>
          <w:bCs/>
          <w:sz w:val="22"/>
          <w:szCs w:val="22"/>
        </w:rPr>
      </w:pPr>
      <w:r w:rsidRPr="00CA29F5">
        <w:rPr>
          <w:b/>
          <w:bCs/>
          <w:sz w:val="22"/>
          <w:szCs w:val="22"/>
        </w:rPr>
        <w:t>Funds Requested: $</w:t>
      </w:r>
      <w:r w:rsidR="003C57D3">
        <w:rPr>
          <w:b/>
          <w:bCs/>
          <w:sz w:val="22"/>
          <w:szCs w:val="22"/>
        </w:rPr>
        <w:t>100</w:t>
      </w:r>
      <w:r w:rsidRPr="00CA29F5">
        <w:rPr>
          <w:b/>
          <w:bCs/>
          <w:sz w:val="22"/>
          <w:szCs w:val="22"/>
        </w:rPr>
        <w:t>,</w:t>
      </w:r>
      <w:r w:rsidR="003C57D3">
        <w:rPr>
          <w:b/>
          <w:bCs/>
          <w:sz w:val="22"/>
          <w:szCs w:val="22"/>
        </w:rPr>
        <w:t>000</w:t>
      </w:r>
    </w:p>
    <w:p w:rsidR="00C71638" w:rsidRPr="00CA29F5" w:rsidRDefault="00C71638" w:rsidP="00190614">
      <w:pPr>
        <w:tabs>
          <w:tab w:val="left" w:pos="3600"/>
        </w:tabs>
        <w:outlineLvl w:val="0"/>
        <w:rPr>
          <w:b/>
          <w:bCs/>
          <w:sz w:val="22"/>
          <w:szCs w:val="22"/>
        </w:rPr>
      </w:pPr>
    </w:p>
    <w:p w:rsidR="00C71638" w:rsidRPr="00CA29F5" w:rsidRDefault="00C71638" w:rsidP="00190614">
      <w:pPr>
        <w:tabs>
          <w:tab w:val="left" w:pos="3600"/>
        </w:tabs>
        <w:outlineLvl w:val="0"/>
        <w:rPr>
          <w:b/>
          <w:bCs/>
          <w:sz w:val="22"/>
          <w:szCs w:val="22"/>
        </w:rPr>
      </w:pPr>
      <w:r w:rsidRPr="00CA29F5">
        <w:rPr>
          <w:b/>
          <w:bCs/>
          <w:sz w:val="22"/>
          <w:szCs w:val="22"/>
        </w:rPr>
        <w:t xml:space="preserve">Project Summary </w:t>
      </w:r>
    </w:p>
    <w:p w:rsidR="00C71638" w:rsidRPr="00CA29F5" w:rsidRDefault="00C71638" w:rsidP="008D3E10">
      <w:pPr>
        <w:tabs>
          <w:tab w:val="left" w:pos="3600"/>
        </w:tabs>
        <w:outlineLvl w:val="0"/>
        <w:rPr>
          <w:sz w:val="22"/>
          <w:szCs w:val="22"/>
        </w:rPr>
      </w:pPr>
      <w:r w:rsidRPr="00CA29F5">
        <w:rPr>
          <w:sz w:val="22"/>
          <w:szCs w:val="22"/>
        </w:rPr>
        <w:t xml:space="preserve">This project will integrate </w:t>
      </w:r>
      <w:r>
        <w:rPr>
          <w:sz w:val="22"/>
          <w:szCs w:val="22"/>
        </w:rPr>
        <w:t xml:space="preserve">NOAA and </w:t>
      </w:r>
      <w:proofErr w:type="spellStart"/>
      <w:r>
        <w:rPr>
          <w:sz w:val="22"/>
          <w:szCs w:val="22"/>
        </w:rPr>
        <w:t>NatureServe’s</w:t>
      </w:r>
      <w:proofErr w:type="spellEnd"/>
      <w:r w:rsidRPr="00CA29F5">
        <w:rPr>
          <w:sz w:val="22"/>
          <w:szCs w:val="22"/>
        </w:rPr>
        <w:t xml:space="preserve"> Coastal and Marine Ecological Classification Standard (CMECS) </w:t>
      </w:r>
      <w:r>
        <w:rPr>
          <w:sz w:val="22"/>
          <w:szCs w:val="22"/>
        </w:rPr>
        <w:t xml:space="preserve">and </w:t>
      </w:r>
      <w:r w:rsidRPr="00CA29F5">
        <w:rPr>
          <w:sz w:val="22"/>
          <w:szCs w:val="22"/>
        </w:rPr>
        <w:t xml:space="preserve">the </w:t>
      </w:r>
      <w:r>
        <w:rPr>
          <w:sz w:val="22"/>
          <w:szCs w:val="22"/>
        </w:rPr>
        <w:t xml:space="preserve">Nature Conservancy and </w:t>
      </w:r>
      <w:proofErr w:type="spellStart"/>
      <w:r>
        <w:rPr>
          <w:sz w:val="22"/>
          <w:szCs w:val="22"/>
        </w:rPr>
        <w:t>NatureServe’s</w:t>
      </w:r>
      <w:proofErr w:type="spellEnd"/>
      <w:r w:rsidR="003C57D3">
        <w:rPr>
          <w:sz w:val="22"/>
          <w:szCs w:val="22"/>
        </w:rPr>
        <w:t xml:space="preserve"> </w:t>
      </w:r>
      <w:r w:rsidRPr="00CA29F5">
        <w:rPr>
          <w:sz w:val="22"/>
          <w:szCs w:val="22"/>
        </w:rPr>
        <w:t>Northeast Regional</w:t>
      </w:r>
      <w:r>
        <w:rPr>
          <w:sz w:val="22"/>
          <w:szCs w:val="22"/>
        </w:rPr>
        <w:t xml:space="preserve"> Habitat</w:t>
      </w:r>
      <w:r w:rsidRPr="00CA29F5">
        <w:rPr>
          <w:sz w:val="22"/>
          <w:szCs w:val="22"/>
        </w:rPr>
        <w:t xml:space="preserve"> Classification System </w:t>
      </w:r>
      <w:r>
        <w:rPr>
          <w:sz w:val="22"/>
          <w:szCs w:val="22"/>
        </w:rPr>
        <w:t xml:space="preserve">(NRHCS) </w:t>
      </w:r>
      <w:r w:rsidRPr="00CA29F5">
        <w:rPr>
          <w:sz w:val="22"/>
          <w:szCs w:val="22"/>
        </w:rPr>
        <w:t>in order to extend th</w:t>
      </w:r>
      <w:r w:rsidR="00550E7F">
        <w:rPr>
          <w:sz w:val="22"/>
          <w:szCs w:val="22"/>
        </w:rPr>
        <w:t>e latter</w:t>
      </w:r>
      <w:r w:rsidRPr="00CA29F5">
        <w:rPr>
          <w:sz w:val="22"/>
          <w:szCs w:val="22"/>
        </w:rPr>
        <w:t xml:space="preserve"> system to estuarine and marine environments from Maine to Virginia. </w:t>
      </w:r>
      <w:r>
        <w:rPr>
          <w:sz w:val="22"/>
          <w:szCs w:val="22"/>
        </w:rPr>
        <w:t>Several commonalities already exist between the two schemes; namely each has a multi-scale hierarchical framework, relies on structural environmental features, and seeks to convey physical-biological linkages.</w:t>
      </w:r>
      <w:r w:rsidR="0088408B">
        <w:rPr>
          <w:sz w:val="22"/>
          <w:szCs w:val="22"/>
        </w:rPr>
        <w:t xml:space="preserve"> </w:t>
      </w:r>
      <w:r>
        <w:rPr>
          <w:sz w:val="22"/>
          <w:szCs w:val="22"/>
        </w:rPr>
        <w:t>Making CMECS and NRHCS compatible</w:t>
      </w:r>
      <w:r w:rsidRPr="00CA29F5">
        <w:rPr>
          <w:sz w:val="22"/>
          <w:szCs w:val="22"/>
        </w:rPr>
        <w:t xml:space="preserve"> will bring appropriate specificity to the application of the </w:t>
      </w:r>
      <w:r>
        <w:rPr>
          <w:sz w:val="22"/>
          <w:szCs w:val="22"/>
        </w:rPr>
        <w:t xml:space="preserve">national CMECS standard to the region. </w:t>
      </w:r>
      <w:r w:rsidRPr="00CA29F5">
        <w:rPr>
          <w:sz w:val="22"/>
          <w:szCs w:val="22"/>
        </w:rPr>
        <w:t>We will coordinate with state, academic, and non-profit partners to identify and cross-walk existing state marine classification systems.</w:t>
      </w:r>
      <w:r w:rsidR="0088408B">
        <w:rPr>
          <w:sz w:val="22"/>
          <w:szCs w:val="22"/>
        </w:rPr>
        <w:t xml:space="preserve"> </w:t>
      </w:r>
      <w:r w:rsidRPr="00CA29F5">
        <w:rPr>
          <w:sz w:val="22"/>
          <w:szCs w:val="22"/>
        </w:rPr>
        <w:t>Since CMECS is still in draft form, our aim is to work closely with the CMECS implementation group to appropriately apply CMECS and to provide feedback regarding thresholds and units.</w:t>
      </w:r>
      <w:r w:rsidR="0088408B">
        <w:rPr>
          <w:sz w:val="22"/>
          <w:szCs w:val="22"/>
        </w:rPr>
        <w:t xml:space="preserve"> </w:t>
      </w:r>
      <w:r w:rsidRPr="00CA29F5">
        <w:rPr>
          <w:sz w:val="22"/>
          <w:szCs w:val="22"/>
        </w:rPr>
        <w:t>Lastly</w:t>
      </w:r>
      <w:r>
        <w:rPr>
          <w:sz w:val="22"/>
          <w:szCs w:val="22"/>
        </w:rPr>
        <w:t>,</w:t>
      </w:r>
      <w:r w:rsidRPr="00CA29F5">
        <w:rPr>
          <w:sz w:val="22"/>
          <w:szCs w:val="22"/>
        </w:rPr>
        <w:t xml:space="preserve"> we will </w:t>
      </w:r>
      <w:r>
        <w:rPr>
          <w:sz w:val="22"/>
          <w:szCs w:val="22"/>
        </w:rPr>
        <w:t xml:space="preserve">examine the scalability of this </w:t>
      </w:r>
      <w:r w:rsidRPr="00CA29F5">
        <w:rPr>
          <w:sz w:val="22"/>
          <w:szCs w:val="22"/>
        </w:rPr>
        <w:t>classification</w:t>
      </w:r>
      <w:r>
        <w:rPr>
          <w:sz w:val="22"/>
          <w:szCs w:val="22"/>
        </w:rPr>
        <w:t xml:space="preserve"> by </w:t>
      </w:r>
      <w:r w:rsidRPr="00CA29F5">
        <w:rPr>
          <w:sz w:val="22"/>
          <w:szCs w:val="22"/>
        </w:rPr>
        <w:t>conduct</w:t>
      </w:r>
      <w:r>
        <w:rPr>
          <w:sz w:val="22"/>
          <w:szCs w:val="22"/>
        </w:rPr>
        <w:t xml:space="preserve">ing </w:t>
      </w:r>
      <w:r w:rsidRPr="00CA29F5">
        <w:rPr>
          <w:sz w:val="22"/>
          <w:szCs w:val="22"/>
        </w:rPr>
        <w:t xml:space="preserve">pilot mapping projects at </w:t>
      </w:r>
      <w:r>
        <w:rPr>
          <w:sz w:val="22"/>
          <w:szCs w:val="22"/>
        </w:rPr>
        <w:t xml:space="preserve">three </w:t>
      </w:r>
      <w:r w:rsidRPr="00CA29F5">
        <w:rPr>
          <w:sz w:val="22"/>
          <w:szCs w:val="22"/>
        </w:rPr>
        <w:t>different scales</w:t>
      </w:r>
      <w:r>
        <w:rPr>
          <w:sz w:val="22"/>
          <w:szCs w:val="22"/>
        </w:rPr>
        <w:t xml:space="preserve"> relevant to planning and conservation efforts. At the </w:t>
      </w:r>
      <w:r w:rsidR="009B011E">
        <w:rPr>
          <w:sz w:val="22"/>
          <w:szCs w:val="22"/>
        </w:rPr>
        <w:t>smallest</w:t>
      </w:r>
      <w:r>
        <w:rPr>
          <w:sz w:val="22"/>
          <w:szCs w:val="22"/>
        </w:rPr>
        <w:t xml:space="preserve"> scale (1:5,000,000), we will apply the classification to </w:t>
      </w:r>
      <w:r w:rsidRPr="00CA29F5">
        <w:rPr>
          <w:sz w:val="22"/>
          <w:szCs w:val="22"/>
        </w:rPr>
        <w:t>the Nature Conservancy’s 2010 Northwest Atlantic Marine Assessment</w:t>
      </w:r>
      <w:r>
        <w:rPr>
          <w:sz w:val="22"/>
          <w:szCs w:val="22"/>
        </w:rPr>
        <w:t>.</w:t>
      </w:r>
      <w:r w:rsidR="0088408B">
        <w:rPr>
          <w:sz w:val="22"/>
          <w:szCs w:val="22"/>
        </w:rPr>
        <w:t xml:space="preserve"> </w:t>
      </w:r>
      <w:r>
        <w:rPr>
          <w:sz w:val="22"/>
          <w:szCs w:val="22"/>
        </w:rPr>
        <w:t xml:space="preserve">An intermediate-scale classification (1:250,000) will utilize </w:t>
      </w:r>
      <w:r w:rsidRPr="00CA29F5">
        <w:rPr>
          <w:sz w:val="22"/>
          <w:szCs w:val="22"/>
        </w:rPr>
        <w:t>datasets assembled for marine spatial planning efforts in Rhode Island, Massachusetts, and adjacent federal waters</w:t>
      </w:r>
      <w:r>
        <w:rPr>
          <w:sz w:val="22"/>
          <w:szCs w:val="22"/>
        </w:rPr>
        <w:t>.</w:t>
      </w:r>
      <w:r w:rsidR="0088408B">
        <w:rPr>
          <w:sz w:val="22"/>
          <w:szCs w:val="22"/>
        </w:rPr>
        <w:t xml:space="preserve"> </w:t>
      </w:r>
      <w:r>
        <w:rPr>
          <w:sz w:val="22"/>
          <w:szCs w:val="22"/>
        </w:rPr>
        <w:t xml:space="preserve">Finally, we will classify </w:t>
      </w:r>
      <w:r w:rsidRPr="00CA29F5">
        <w:rPr>
          <w:sz w:val="22"/>
          <w:szCs w:val="22"/>
        </w:rPr>
        <w:t>estuary-specific, high</w:t>
      </w:r>
      <w:r>
        <w:rPr>
          <w:sz w:val="22"/>
          <w:szCs w:val="22"/>
        </w:rPr>
        <w:t>-</w:t>
      </w:r>
      <w:r w:rsidRPr="00CA29F5">
        <w:rPr>
          <w:sz w:val="22"/>
          <w:szCs w:val="22"/>
        </w:rPr>
        <w:t>resolution information for Boston Harbor</w:t>
      </w:r>
      <w:r>
        <w:rPr>
          <w:sz w:val="22"/>
          <w:szCs w:val="22"/>
        </w:rPr>
        <w:t xml:space="preserve"> (1:5,000 </w:t>
      </w:r>
      <w:proofErr w:type="gramStart"/>
      <w:r>
        <w:rPr>
          <w:sz w:val="22"/>
          <w:szCs w:val="22"/>
        </w:rPr>
        <w:t>scale</w:t>
      </w:r>
      <w:proofErr w:type="gramEnd"/>
      <w:r>
        <w:rPr>
          <w:sz w:val="22"/>
          <w:szCs w:val="22"/>
        </w:rPr>
        <w:t>)</w:t>
      </w:r>
      <w:r w:rsidRPr="00CA29F5">
        <w:rPr>
          <w:sz w:val="22"/>
          <w:szCs w:val="22"/>
        </w:rPr>
        <w:t>.</w:t>
      </w:r>
      <w:r w:rsidR="0088408B">
        <w:rPr>
          <w:sz w:val="22"/>
          <w:szCs w:val="22"/>
        </w:rPr>
        <w:t xml:space="preserve"> </w:t>
      </w:r>
      <w:r w:rsidR="004A50D6">
        <w:rPr>
          <w:sz w:val="22"/>
          <w:szCs w:val="22"/>
        </w:rPr>
        <w:t xml:space="preserve">These pilots will allow us to assess the ability of CMECS to convey consistent ecological data across relevant scales. Workshops and phone meetings will happen in the first year followed by the pilot efforts in the second year.  </w:t>
      </w:r>
    </w:p>
    <w:p w:rsidR="00550E7F" w:rsidRDefault="00550E7F">
      <w:pPr>
        <w:rPr>
          <w:b/>
          <w:bCs/>
          <w:sz w:val="28"/>
          <w:szCs w:val="28"/>
        </w:rPr>
      </w:pPr>
      <w:r>
        <w:rPr>
          <w:b/>
          <w:bCs/>
          <w:sz w:val="28"/>
          <w:szCs w:val="28"/>
        </w:rPr>
        <w:br w:type="page"/>
      </w:r>
    </w:p>
    <w:p w:rsidR="00F9071D" w:rsidRPr="0083003F" w:rsidRDefault="00F9071D" w:rsidP="0083003F">
      <w:pPr>
        <w:tabs>
          <w:tab w:val="left" w:pos="2160"/>
        </w:tabs>
        <w:jc w:val="center"/>
        <w:rPr>
          <w:b/>
          <w:bCs/>
          <w:sz w:val="28"/>
          <w:szCs w:val="28"/>
        </w:rPr>
      </w:pPr>
      <w:proofErr w:type="gramStart"/>
      <w:r w:rsidRPr="0083003F">
        <w:rPr>
          <w:b/>
          <w:bCs/>
          <w:sz w:val="28"/>
          <w:szCs w:val="28"/>
        </w:rPr>
        <w:lastRenderedPageBreak/>
        <w:t>Development of a Northeast Regional Coastal and Marine Eco</w:t>
      </w:r>
      <w:r w:rsidR="0083003F" w:rsidRPr="0083003F">
        <w:rPr>
          <w:b/>
          <w:bCs/>
          <w:sz w:val="28"/>
          <w:szCs w:val="28"/>
        </w:rPr>
        <w:t>logical Classification Standard</w:t>
      </w:r>
      <w:r w:rsidR="00C71638" w:rsidRPr="0083003F">
        <w:rPr>
          <w:b/>
          <w:bCs/>
          <w:sz w:val="28"/>
          <w:szCs w:val="28"/>
        </w:rPr>
        <w:t>.</w:t>
      </w:r>
      <w:proofErr w:type="gramEnd"/>
    </w:p>
    <w:p w:rsidR="00C71638" w:rsidRPr="00CA29F5" w:rsidRDefault="00C71638" w:rsidP="00F9071D">
      <w:pPr>
        <w:tabs>
          <w:tab w:val="left" w:pos="3600"/>
        </w:tabs>
        <w:outlineLvl w:val="0"/>
        <w:rPr>
          <w:i/>
          <w:iCs/>
          <w:sz w:val="22"/>
          <w:szCs w:val="22"/>
        </w:rPr>
      </w:pPr>
      <w:r w:rsidRPr="00CA29F5">
        <w:rPr>
          <w:sz w:val="22"/>
          <w:szCs w:val="22"/>
        </w:rPr>
        <w:t xml:space="preserve">This proposal addresses </w:t>
      </w:r>
      <w:r w:rsidRPr="00CA29F5">
        <w:rPr>
          <w:b/>
          <w:bCs/>
          <w:sz w:val="22"/>
          <w:szCs w:val="22"/>
        </w:rPr>
        <w:t>Priority #1</w:t>
      </w:r>
      <w:r>
        <w:rPr>
          <w:b/>
          <w:bCs/>
          <w:sz w:val="22"/>
          <w:szCs w:val="22"/>
        </w:rPr>
        <w:t xml:space="preserve"> </w:t>
      </w:r>
      <w:r w:rsidRPr="00CA29F5">
        <w:rPr>
          <w:i/>
          <w:iCs/>
          <w:sz w:val="22"/>
          <w:szCs w:val="22"/>
        </w:rPr>
        <w:t>Develop Regional Base Maps for Analyses of NE SGCN Data</w:t>
      </w:r>
    </w:p>
    <w:p w:rsidR="00C71638" w:rsidRPr="00CA29F5" w:rsidRDefault="00C71638" w:rsidP="006A33FC">
      <w:pPr>
        <w:rPr>
          <w:sz w:val="22"/>
          <w:szCs w:val="22"/>
        </w:rPr>
      </w:pPr>
    </w:p>
    <w:p w:rsidR="00C71638" w:rsidRPr="00CA29F5" w:rsidRDefault="00C71638" w:rsidP="006A33FC">
      <w:pPr>
        <w:rPr>
          <w:sz w:val="22"/>
          <w:szCs w:val="22"/>
        </w:rPr>
      </w:pPr>
      <w:r w:rsidRPr="00CA29F5">
        <w:rPr>
          <w:b/>
          <w:bCs/>
          <w:sz w:val="22"/>
          <w:szCs w:val="22"/>
        </w:rPr>
        <w:t xml:space="preserve">Product: </w:t>
      </w:r>
      <w:r w:rsidRPr="00CA29F5">
        <w:rPr>
          <w:sz w:val="22"/>
          <w:szCs w:val="22"/>
        </w:rPr>
        <w:t xml:space="preserve">The primary product </w:t>
      </w:r>
      <w:r w:rsidR="00F843B3">
        <w:rPr>
          <w:sz w:val="22"/>
          <w:szCs w:val="22"/>
        </w:rPr>
        <w:t xml:space="preserve">of this proposal </w:t>
      </w:r>
      <w:r w:rsidRPr="00CA29F5">
        <w:rPr>
          <w:sz w:val="22"/>
          <w:szCs w:val="22"/>
        </w:rPr>
        <w:t>is an extension of the existing Northeast Regional Habitat Classification System into estuarine and marine environments using the Coastal and Marine Ecological Classification Standard (CMECS).</w:t>
      </w:r>
      <w:r w:rsidR="0088408B">
        <w:rPr>
          <w:sz w:val="22"/>
          <w:szCs w:val="22"/>
        </w:rPr>
        <w:t xml:space="preserve"> </w:t>
      </w:r>
      <w:r w:rsidRPr="00CA29F5">
        <w:rPr>
          <w:sz w:val="22"/>
          <w:szCs w:val="22"/>
        </w:rPr>
        <w:t xml:space="preserve">The final report will include a description of the CMECS units and thresholds </w:t>
      </w:r>
      <w:r>
        <w:rPr>
          <w:sz w:val="22"/>
          <w:szCs w:val="22"/>
        </w:rPr>
        <w:t>specific to the Northeast Region</w:t>
      </w:r>
      <w:r w:rsidRPr="00CA29F5">
        <w:rPr>
          <w:sz w:val="22"/>
          <w:szCs w:val="22"/>
        </w:rPr>
        <w:t>, and a description and justification of any units and thresholds that are different than those within the most current version of CMECS.</w:t>
      </w:r>
      <w:r w:rsidR="0088408B">
        <w:rPr>
          <w:sz w:val="22"/>
          <w:szCs w:val="22"/>
        </w:rPr>
        <w:t xml:space="preserve"> </w:t>
      </w:r>
      <w:r w:rsidRPr="00CA29F5">
        <w:rPr>
          <w:sz w:val="22"/>
          <w:szCs w:val="22"/>
        </w:rPr>
        <w:t>Th</w:t>
      </w:r>
      <w:r w:rsidR="007E5265">
        <w:rPr>
          <w:sz w:val="22"/>
          <w:szCs w:val="22"/>
        </w:rPr>
        <w:t xml:space="preserve">ese </w:t>
      </w:r>
      <w:r w:rsidRPr="00CA29F5">
        <w:rPr>
          <w:sz w:val="22"/>
          <w:szCs w:val="22"/>
        </w:rPr>
        <w:t xml:space="preserve">will be developed by a collaborative team of scientists from state Fish and Wildlife agencies, state coastal zone management agencies, academia, and private conservation organizations. </w:t>
      </w:r>
      <w:r w:rsidR="007E5265" w:rsidRPr="00CA29F5">
        <w:rPr>
          <w:sz w:val="22"/>
          <w:szCs w:val="22"/>
        </w:rPr>
        <w:t>Additionally, maps showing the extent and location of benthic habitats as defined by the classification system will be prepared at three different scales</w:t>
      </w:r>
      <w:r w:rsidR="007E5265">
        <w:rPr>
          <w:sz w:val="22"/>
          <w:szCs w:val="22"/>
        </w:rPr>
        <w:t>,</w:t>
      </w:r>
      <w:r w:rsidRPr="00CA29F5">
        <w:rPr>
          <w:sz w:val="22"/>
          <w:szCs w:val="22"/>
        </w:rPr>
        <w:t xml:space="preserve"> based on datasets compiled by The Nature Conservancy (TNC) for the Northwest Atlantic Marine Assessment, the State of Rhode Island, and the Commonwealth of Massachusetts.</w:t>
      </w:r>
    </w:p>
    <w:p w:rsidR="00C71638" w:rsidRPr="00CA29F5" w:rsidRDefault="00C71638" w:rsidP="006A33FC">
      <w:pPr>
        <w:rPr>
          <w:sz w:val="22"/>
          <w:szCs w:val="22"/>
        </w:rPr>
      </w:pPr>
    </w:p>
    <w:p w:rsidR="00C71638" w:rsidRPr="00CA29F5" w:rsidRDefault="00C71638" w:rsidP="00974716">
      <w:pPr>
        <w:rPr>
          <w:b/>
          <w:bCs/>
          <w:sz w:val="22"/>
          <w:szCs w:val="22"/>
        </w:rPr>
      </w:pPr>
      <w:r w:rsidRPr="00CA29F5">
        <w:rPr>
          <w:b/>
          <w:bCs/>
          <w:sz w:val="22"/>
          <w:szCs w:val="22"/>
        </w:rPr>
        <w:t>Geographic Extent:</w:t>
      </w:r>
      <w:r w:rsidRPr="00CA29F5">
        <w:rPr>
          <w:sz w:val="22"/>
          <w:szCs w:val="22"/>
        </w:rPr>
        <w:t xml:space="preserve"> The area covered in the report will include all coastal states from Maine to Virginia, extending from the intertidal zone to the base of the shelf-slope break. This area includes two distinct marine </w:t>
      </w:r>
      <w:proofErr w:type="spellStart"/>
      <w:r w:rsidRPr="00CA29F5">
        <w:rPr>
          <w:sz w:val="22"/>
          <w:szCs w:val="22"/>
        </w:rPr>
        <w:t>ecoregions</w:t>
      </w:r>
      <w:proofErr w:type="spellEnd"/>
      <w:r w:rsidRPr="00CA29F5">
        <w:rPr>
          <w:sz w:val="22"/>
          <w:szCs w:val="22"/>
        </w:rPr>
        <w:t xml:space="preserve"> – the Acadian (Gulf of Maine/Bay of Fundy) and the Virginian (Spalding et al. 2007).</w:t>
      </w:r>
      <w:r w:rsidR="0088408B">
        <w:rPr>
          <w:sz w:val="22"/>
          <w:szCs w:val="22"/>
        </w:rPr>
        <w:t xml:space="preserve"> </w:t>
      </w:r>
      <w:r w:rsidRPr="00CA29F5">
        <w:rPr>
          <w:sz w:val="22"/>
          <w:szCs w:val="22"/>
        </w:rPr>
        <w:t>These are nested within the larger Cold Temperate Northwest Atlantic Province, and the Northeast Continental Shelf Large Marine Ecosystem (Spalding et al. 2007, Figure 1)</w:t>
      </w:r>
      <w:r>
        <w:rPr>
          <w:sz w:val="22"/>
          <w:szCs w:val="22"/>
        </w:rPr>
        <w:t>.</w:t>
      </w:r>
    </w:p>
    <w:p w:rsidR="00C71638" w:rsidRPr="00CA29F5" w:rsidRDefault="00C71638" w:rsidP="006A33FC">
      <w:pPr>
        <w:rPr>
          <w:b/>
          <w:bCs/>
          <w:sz w:val="22"/>
          <w:szCs w:val="22"/>
        </w:rPr>
      </w:pPr>
    </w:p>
    <w:p w:rsidR="00C71638" w:rsidRPr="00CA29F5" w:rsidRDefault="00C71638" w:rsidP="008A3C63">
      <w:pPr>
        <w:tabs>
          <w:tab w:val="left" w:pos="0"/>
          <w:tab w:val="left" w:pos="2160"/>
        </w:tabs>
        <w:jc w:val="both"/>
        <w:rPr>
          <w:sz w:val="22"/>
          <w:szCs w:val="22"/>
        </w:rPr>
      </w:pPr>
      <w:r w:rsidRPr="00CA29F5">
        <w:rPr>
          <w:b/>
          <w:bCs/>
          <w:sz w:val="22"/>
          <w:szCs w:val="22"/>
        </w:rPr>
        <w:t>Background</w:t>
      </w:r>
      <w:r w:rsidRPr="00CA29F5">
        <w:rPr>
          <w:sz w:val="22"/>
          <w:szCs w:val="22"/>
        </w:rPr>
        <w:t>:</w:t>
      </w:r>
      <w:r w:rsidR="0088408B">
        <w:rPr>
          <w:sz w:val="22"/>
          <w:szCs w:val="22"/>
        </w:rPr>
        <w:t xml:space="preserve"> </w:t>
      </w:r>
      <w:r w:rsidRPr="00CA29F5">
        <w:rPr>
          <w:sz w:val="22"/>
          <w:szCs w:val="22"/>
        </w:rPr>
        <w:t xml:space="preserve">This proposal builds and expands on several previous NEAFWA projects and TNC projects. We will build on the RCN 2008 </w:t>
      </w:r>
      <w:r w:rsidRPr="00CA29F5">
        <w:rPr>
          <w:i/>
          <w:iCs/>
          <w:sz w:val="22"/>
          <w:szCs w:val="22"/>
        </w:rPr>
        <w:t>Creation of Regional Habitat Cover Maps: Application of the NE Terrestrial Habitat Classification System</w:t>
      </w:r>
      <w:r w:rsidRPr="00CA29F5">
        <w:rPr>
          <w:sz w:val="22"/>
          <w:szCs w:val="22"/>
        </w:rPr>
        <w:t xml:space="preserve"> and its predecessor SCWCSP 2007 </w:t>
      </w:r>
      <w:r w:rsidRPr="00CA29F5">
        <w:rPr>
          <w:i/>
          <w:iCs/>
          <w:sz w:val="22"/>
          <w:szCs w:val="22"/>
        </w:rPr>
        <w:t xml:space="preserve">Regional Habitat Maps - A Foundation for Proactive Conservation Projects. </w:t>
      </w:r>
      <w:r w:rsidRPr="00CA29F5">
        <w:rPr>
          <w:sz w:val="22"/>
          <w:szCs w:val="22"/>
        </w:rPr>
        <w:t xml:space="preserve">In these projects we developed classification systems for wildlife habitats and stream reaches and used those classifications to create regional maps. These maps unified the various classification approaches used in developing state wildlife action plans (SWAP) allowing for scientists to examine the location, condition and conservation status of similar ecological features across the region regardless of state boundaries. </w:t>
      </w:r>
    </w:p>
    <w:p w:rsidR="00C71638" w:rsidRPr="00CA29F5" w:rsidRDefault="00C71638" w:rsidP="008A3C63">
      <w:pPr>
        <w:tabs>
          <w:tab w:val="left" w:pos="0"/>
          <w:tab w:val="left" w:pos="2160"/>
        </w:tabs>
        <w:jc w:val="both"/>
        <w:rPr>
          <w:sz w:val="22"/>
          <w:szCs w:val="22"/>
        </w:rPr>
      </w:pPr>
    </w:p>
    <w:p w:rsidR="00C71638" w:rsidRPr="00CA29F5" w:rsidRDefault="00C71638" w:rsidP="008A3C63">
      <w:pPr>
        <w:tabs>
          <w:tab w:val="left" w:pos="0"/>
          <w:tab w:val="left" w:pos="2160"/>
        </w:tabs>
        <w:jc w:val="both"/>
        <w:rPr>
          <w:sz w:val="22"/>
          <w:szCs w:val="22"/>
        </w:rPr>
      </w:pPr>
      <w:r w:rsidRPr="008C1B7B">
        <w:rPr>
          <w:sz w:val="22"/>
          <w:szCs w:val="22"/>
        </w:rPr>
        <w:t>These maps, and the Northeast Regional Habitat Classification System, do not currently extend into estuarine and marine environments.</w:t>
      </w:r>
      <w:r w:rsidR="0088408B">
        <w:rPr>
          <w:sz w:val="22"/>
          <w:szCs w:val="22"/>
        </w:rPr>
        <w:t xml:space="preserve"> </w:t>
      </w:r>
      <w:r w:rsidRPr="008C1B7B">
        <w:rPr>
          <w:sz w:val="22"/>
          <w:szCs w:val="22"/>
        </w:rPr>
        <w:t>The need for a standardized approach to classifying marine habitats resulted in the development of the Coastal Marine and Ecological Classification Standard (CMECS).</w:t>
      </w:r>
      <w:r w:rsidR="0088408B">
        <w:rPr>
          <w:sz w:val="22"/>
          <w:szCs w:val="22"/>
        </w:rPr>
        <w:t xml:space="preserve"> </w:t>
      </w:r>
      <w:r w:rsidRPr="00CA29F5">
        <w:rPr>
          <w:sz w:val="22"/>
          <w:szCs w:val="22"/>
        </w:rPr>
        <w:t>This standard has been in development for approximately ten years</w:t>
      </w:r>
      <w:r w:rsidR="00780176">
        <w:rPr>
          <w:sz w:val="22"/>
          <w:szCs w:val="22"/>
        </w:rPr>
        <w:t xml:space="preserve"> (Madden et al</w:t>
      </w:r>
      <w:r w:rsidR="009733C6">
        <w:rPr>
          <w:sz w:val="22"/>
          <w:szCs w:val="22"/>
        </w:rPr>
        <w:t>.</w:t>
      </w:r>
      <w:r w:rsidR="00780176">
        <w:rPr>
          <w:sz w:val="22"/>
          <w:szCs w:val="22"/>
        </w:rPr>
        <w:t xml:space="preserve"> 2005)</w:t>
      </w:r>
      <w:r w:rsidRPr="00CA29F5">
        <w:rPr>
          <w:sz w:val="22"/>
          <w:szCs w:val="22"/>
        </w:rPr>
        <w:t>, and version 3.1 is in the review stages for inclusion as a Federal Geographic Data Committee (FGDC) standard.</w:t>
      </w:r>
      <w:r w:rsidR="0088408B">
        <w:rPr>
          <w:sz w:val="22"/>
          <w:szCs w:val="22"/>
        </w:rPr>
        <w:t xml:space="preserve"> </w:t>
      </w:r>
      <w:r w:rsidRPr="00CA29F5">
        <w:rPr>
          <w:sz w:val="22"/>
          <w:szCs w:val="22"/>
        </w:rPr>
        <w:t>It is informed by several existing classifications which are local or regional in nature, including</w:t>
      </w:r>
      <w:r>
        <w:rPr>
          <w:sz w:val="22"/>
          <w:szCs w:val="22"/>
        </w:rPr>
        <w:t xml:space="preserve"> Greene et al. 1999, Valentine et al. 2005, </w:t>
      </w:r>
      <w:r w:rsidR="009733C6">
        <w:rPr>
          <w:sz w:val="22"/>
          <w:szCs w:val="22"/>
        </w:rPr>
        <w:t xml:space="preserve">and </w:t>
      </w:r>
      <w:r>
        <w:rPr>
          <w:sz w:val="22"/>
          <w:szCs w:val="22"/>
        </w:rPr>
        <w:t>Connor et al. 2006.</w:t>
      </w:r>
      <w:r w:rsidR="0088408B">
        <w:rPr>
          <w:sz w:val="22"/>
          <w:szCs w:val="22"/>
        </w:rPr>
        <w:t xml:space="preserve"> </w:t>
      </w:r>
      <w:r w:rsidRPr="00CA29F5">
        <w:rPr>
          <w:sz w:val="22"/>
          <w:szCs w:val="22"/>
        </w:rPr>
        <w:t>CMECS is currently not a formally accepted standard, and discussions with members of the interagency implementation group have indicated that substantial changes are likely to occur over the next year or two (</w:t>
      </w:r>
      <w:r w:rsidR="00F843B3" w:rsidRPr="00F843B3">
        <w:rPr>
          <w:sz w:val="22"/>
          <w:szCs w:val="22"/>
        </w:rPr>
        <w:t xml:space="preserve">Mayer, G., C. Madden, and K. </w:t>
      </w:r>
      <w:proofErr w:type="spellStart"/>
      <w:r w:rsidR="00F843B3" w:rsidRPr="00F843B3">
        <w:rPr>
          <w:sz w:val="22"/>
          <w:szCs w:val="22"/>
        </w:rPr>
        <w:t>Goodin</w:t>
      </w:r>
      <w:proofErr w:type="spellEnd"/>
      <w:r w:rsidR="00F843B3">
        <w:rPr>
          <w:sz w:val="22"/>
          <w:szCs w:val="22"/>
        </w:rPr>
        <w:t xml:space="preserve"> </w:t>
      </w:r>
      <w:r w:rsidRPr="00CA29F5">
        <w:rPr>
          <w:sz w:val="22"/>
          <w:szCs w:val="22"/>
        </w:rPr>
        <w:t>pers</w:t>
      </w:r>
      <w:r w:rsidR="00F843B3">
        <w:rPr>
          <w:sz w:val="22"/>
          <w:szCs w:val="22"/>
        </w:rPr>
        <w:t>.</w:t>
      </w:r>
      <w:r w:rsidRPr="00CA29F5">
        <w:rPr>
          <w:sz w:val="22"/>
          <w:szCs w:val="22"/>
        </w:rPr>
        <w:t xml:space="preserve"> comm.).</w:t>
      </w:r>
      <w:r w:rsidR="0088408B">
        <w:rPr>
          <w:sz w:val="22"/>
          <w:szCs w:val="22"/>
        </w:rPr>
        <w:t xml:space="preserve"> </w:t>
      </w:r>
      <w:r w:rsidRPr="00CA29F5">
        <w:rPr>
          <w:sz w:val="22"/>
          <w:szCs w:val="22"/>
        </w:rPr>
        <w:t>Following acceptance and as the standard is implemented, it is anticipated that additional changes will be recommended, and a formal amendment procedure will be available.</w:t>
      </w:r>
      <w:r w:rsidR="0088408B">
        <w:rPr>
          <w:sz w:val="22"/>
          <w:szCs w:val="22"/>
        </w:rPr>
        <w:t xml:space="preserve"> </w:t>
      </w:r>
      <w:r w:rsidRPr="00CA29F5">
        <w:rPr>
          <w:sz w:val="22"/>
          <w:szCs w:val="22"/>
        </w:rPr>
        <w:t>Two of the proposal investigators, King and Ford, are members of the CMECS working group and are involved with reviewing and editing the standard.</w:t>
      </w:r>
      <w:r w:rsidR="0088408B">
        <w:rPr>
          <w:sz w:val="22"/>
          <w:szCs w:val="22"/>
        </w:rPr>
        <w:t xml:space="preserve"> </w:t>
      </w:r>
      <w:r w:rsidRPr="00CA29F5">
        <w:rPr>
          <w:sz w:val="22"/>
          <w:szCs w:val="22"/>
        </w:rPr>
        <w:t>This familiarity with CMECS and its review process is necessary in order to apply CMECS to the Northeast Region in a manner that allows for the anticipated evolution of CMECS.</w:t>
      </w:r>
      <w:r w:rsidR="0088408B">
        <w:rPr>
          <w:sz w:val="22"/>
          <w:szCs w:val="22"/>
        </w:rPr>
        <w:t xml:space="preserve"> </w:t>
      </w:r>
      <w:r w:rsidRPr="00CA29F5">
        <w:rPr>
          <w:sz w:val="22"/>
          <w:szCs w:val="22"/>
        </w:rPr>
        <w:t>The process of delineating the estuarine and marine habitat classes for the northeast is anticipated to inform CMECS itself by providing a test case of the standard.</w:t>
      </w:r>
    </w:p>
    <w:p w:rsidR="00C71638" w:rsidRPr="00CA29F5" w:rsidRDefault="00C71638" w:rsidP="008A3C63">
      <w:pPr>
        <w:tabs>
          <w:tab w:val="left" w:pos="0"/>
          <w:tab w:val="left" w:pos="2160"/>
        </w:tabs>
        <w:jc w:val="both"/>
        <w:rPr>
          <w:sz w:val="22"/>
          <w:szCs w:val="22"/>
        </w:rPr>
      </w:pPr>
    </w:p>
    <w:p w:rsidR="00F843B3" w:rsidRDefault="00C71638" w:rsidP="000C53BA">
      <w:pPr>
        <w:tabs>
          <w:tab w:val="left" w:pos="0"/>
          <w:tab w:val="left" w:pos="2160"/>
        </w:tabs>
        <w:jc w:val="both"/>
        <w:rPr>
          <w:sz w:val="22"/>
          <w:szCs w:val="22"/>
        </w:rPr>
      </w:pPr>
      <w:r w:rsidRPr="00CA29F5">
        <w:rPr>
          <w:sz w:val="22"/>
          <w:szCs w:val="22"/>
        </w:rPr>
        <w:t xml:space="preserve">A few of the underlying reasons why state agencies need to classify estuarine and marine habitats is for inventory purposes in order to identify conservation needs and restoration priorities, address mandates under the Clean Water Act for protection of certain habitats, and conduct marine spatial planning to </w:t>
      </w:r>
      <w:r w:rsidRPr="00CA29F5">
        <w:rPr>
          <w:sz w:val="22"/>
          <w:szCs w:val="22"/>
        </w:rPr>
        <w:lastRenderedPageBreak/>
        <w:t>minimize use conflict, protect vulnerable and important habitats, and maximize resource use.</w:t>
      </w:r>
      <w:r w:rsidR="0088408B">
        <w:rPr>
          <w:sz w:val="22"/>
          <w:szCs w:val="22"/>
        </w:rPr>
        <w:t xml:space="preserve"> </w:t>
      </w:r>
      <w:r w:rsidRPr="00CA29F5">
        <w:rPr>
          <w:sz w:val="22"/>
          <w:szCs w:val="22"/>
        </w:rPr>
        <w:t>A significant challenge in identifying estuarine and marine units has been the inherent four-dimensionality of marine-influenced systems.</w:t>
      </w:r>
      <w:r w:rsidR="0088408B">
        <w:rPr>
          <w:sz w:val="22"/>
          <w:szCs w:val="22"/>
        </w:rPr>
        <w:t xml:space="preserve"> </w:t>
      </w:r>
      <w:r w:rsidRPr="00CA29F5">
        <w:rPr>
          <w:sz w:val="22"/>
          <w:szCs w:val="22"/>
        </w:rPr>
        <w:t xml:space="preserve">CMECS confronts this challenge by utilizing a </w:t>
      </w:r>
      <w:r>
        <w:rPr>
          <w:sz w:val="22"/>
          <w:szCs w:val="22"/>
        </w:rPr>
        <w:t xml:space="preserve">spatial-temporal framework </w:t>
      </w:r>
      <w:r w:rsidRPr="00CA29F5">
        <w:rPr>
          <w:sz w:val="22"/>
          <w:szCs w:val="22"/>
        </w:rPr>
        <w:t>as its conceptual foundation (Figure 2).</w:t>
      </w:r>
      <w:r w:rsidR="0088408B">
        <w:rPr>
          <w:sz w:val="22"/>
          <w:szCs w:val="22"/>
        </w:rPr>
        <w:t xml:space="preserve">  </w:t>
      </w:r>
    </w:p>
    <w:p w:rsidR="00F843B3" w:rsidRDefault="00F843B3" w:rsidP="000C53BA">
      <w:pPr>
        <w:tabs>
          <w:tab w:val="left" w:pos="0"/>
          <w:tab w:val="left" w:pos="2160"/>
        </w:tabs>
        <w:jc w:val="both"/>
        <w:rPr>
          <w:sz w:val="22"/>
          <w:szCs w:val="22"/>
        </w:rPr>
      </w:pPr>
    </w:p>
    <w:p w:rsidR="00C71638" w:rsidRPr="00CA29F5" w:rsidRDefault="00C71638" w:rsidP="000C53BA">
      <w:pPr>
        <w:tabs>
          <w:tab w:val="left" w:pos="0"/>
          <w:tab w:val="left" w:pos="2160"/>
        </w:tabs>
        <w:jc w:val="both"/>
        <w:rPr>
          <w:sz w:val="22"/>
          <w:szCs w:val="22"/>
        </w:rPr>
      </w:pPr>
      <w:r w:rsidRPr="00CA29F5">
        <w:rPr>
          <w:sz w:val="22"/>
          <w:szCs w:val="22"/>
        </w:rPr>
        <w:t xml:space="preserve">Since CMECS is largely untested, we propose to conduct three pilot projects that apply </w:t>
      </w:r>
      <w:r>
        <w:rPr>
          <w:sz w:val="22"/>
          <w:szCs w:val="22"/>
        </w:rPr>
        <w:t>the Northeast Regional CMECS</w:t>
      </w:r>
      <w:r w:rsidRPr="00CA29F5">
        <w:rPr>
          <w:sz w:val="22"/>
          <w:szCs w:val="22"/>
        </w:rPr>
        <w:t xml:space="preserve"> that we develop on different scales: regional, </w:t>
      </w:r>
      <w:proofErr w:type="spellStart"/>
      <w:r w:rsidRPr="00CA29F5">
        <w:rPr>
          <w:sz w:val="22"/>
          <w:szCs w:val="22"/>
        </w:rPr>
        <w:t>subregional</w:t>
      </w:r>
      <w:proofErr w:type="spellEnd"/>
      <w:r w:rsidRPr="00CA29F5">
        <w:rPr>
          <w:sz w:val="22"/>
          <w:szCs w:val="22"/>
        </w:rPr>
        <w:t>, and local.</w:t>
      </w:r>
      <w:r w:rsidR="0088408B">
        <w:rPr>
          <w:sz w:val="22"/>
          <w:szCs w:val="22"/>
        </w:rPr>
        <w:t xml:space="preserve"> </w:t>
      </w:r>
      <w:r w:rsidRPr="00CA29F5">
        <w:rPr>
          <w:sz w:val="22"/>
          <w:szCs w:val="22"/>
        </w:rPr>
        <w:t>We maintain this is an important part of the classification process itself, in order to ensure that the classification product is applicable at the variety of scales at which state wildlife agencies work.</w:t>
      </w:r>
      <w:r w:rsidR="0088408B">
        <w:rPr>
          <w:sz w:val="22"/>
          <w:szCs w:val="22"/>
        </w:rPr>
        <w:t xml:space="preserve"> </w:t>
      </w:r>
    </w:p>
    <w:p w:rsidR="00C71638" w:rsidRPr="00CA29F5" w:rsidRDefault="00C71638" w:rsidP="00526C77">
      <w:pPr>
        <w:tabs>
          <w:tab w:val="left" w:pos="0"/>
          <w:tab w:val="left" w:pos="2160"/>
        </w:tabs>
        <w:jc w:val="both"/>
        <w:rPr>
          <w:sz w:val="22"/>
          <w:szCs w:val="22"/>
        </w:rPr>
      </w:pPr>
    </w:p>
    <w:p w:rsidR="00C71638" w:rsidRPr="00CA29F5" w:rsidRDefault="00C71638" w:rsidP="00526C77">
      <w:pPr>
        <w:tabs>
          <w:tab w:val="left" w:pos="0"/>
          <w:tab w:val="left" w:pos="2160"/>
        </w:tabs>
        <w:jc w:val="both"/>
        <w:rPr>
          <w:sz w:val="22"/>
          <w:szCs w:val="22"/>
        </w:rPr>
      </w:pPr>
      <w:r w:rsidRPr="00CA29F5">
        <w:rPr>
          <w:b/>
          <w:bCs/>
          <w:sz w:val="22"/>
          <w:szCs w:val="22"/>
        </w:rPr>
        <w:t>Project Description:</w:t>
      </w:r>
      <w:r w:rsidRPr="00CA29F5">
        <w:rPr>
          <w:sz w:val="22"/>
          <w:szCs w:val="22"/>
        </w:rPr>
        <w:t xml:space="preserve"> The first phase of the project will be to </w:t>
      </w:r>
      <w:r>
        <w:rPr>
          <w:sz w:val="22"/>
          <w:szCs w:val="22"/>
        </w:rPr>
        <w:t>identify specific commonalities between CMECS and the NRHCS. Both schemes are multi-scale hierarchies, rely on structural environmental characteristics to form units, and seek to convey the physical-biological linkages that exist at multiple scales.</w:t>
      </w:r>
      <w:r w:rsidR="0088408B">
        <w:rPr>
          <w:sz w:val="22"/>
          <w:szCs w:val="22"/>
        </w:rPr>
        <w:t xml:space="preserve"> </w:t>
      </w:r>
      <w:r w:rsidRPr="00CA29F5">
        <w:rPr>
          <w:sz w:val="22"/>
          <w:szCs w:val="22"/>
        </w:rPr>
        <w:t xml:space="preserve">The most current version of CMECS, version 3.1, is comprised of five components: Water Column, Surface Geology, Sub-benthic, Benthic Biotic, and </w:t>
      </w:r>
      <w:proofErr w:type="spellStart"/>
      <w:r w:rsidRPr="00CA29F5">
        <w:rPr>
          <w:sz w:val="22"/>
          <w:szCs w:val="22"/>
        </w:rPr>
        <w:t>Geoform</w:t>
      </w:r>
      <w:proofErr w:type="spellEnd"/>
      <w:r w:rsidRPr="00CA29F5">
        <w:rPr>
          <w:sz w:val="22"/>
          <w:szCs w:val="22"/>
        </w:rPr>
        <w:t>.</w:t>
      </w:r>
      <w:r w:rsidR="0088408B">
        <w:rPr>
          <w:sz w:val="22"/>
          <w:szCs w:val="22"/>
        </w:rPr>
        <w:t xml:space="preserve"> </w:t>
      </w:r>
      <w:r w:rsidRPr="00CA29F5">
        <w:rPr>
          <w:sz w:val="22"/>
          <w:szCs w:val="22"/>
        </w:rPr>
        <w:t>Since CMECS is still being developed, it is unclear at this point how many components will be adopted, and how mature their development will be at the onset of this project in another year. The Benthic Biotic Component is well-established at this point, and w</w:t>
      </w:r>
      <w:r>
        <w:rPr>
          <w:sz w:val="22"/>
          <w:szCs w:val="22"/>
        </w:rPr>
        <w:t>ill</w:t>
      </w:r>
      <w:r w:rsidRPr="00CA29F5">
        <w:rPr>
          <w:sz w:val="22"/>
          <w:szCs w:val="22"/>
        </w:rPr>
        <w:t xml:space="preserve"> serve as the </w:t>
      </w:r>
      <w:r>
        <w:rPr>
          <w:sz w:val="22"/>
          <w:szCs w:val="22"/>
        </w:rPr>
        <w:t>foundation for making the NRHCS compatible with a Northeast Regional CMECS</w:t>
      </w:r>
      <w:r w:rsidRPr="00CA29F5">
        <w:rPr>
          <w:sz w:val="22"/>
          <w:szCs w:val="22"/>
        </w:rPr>
        <w:t xml:space="preserve">. </w:t>
      </w:r>
    </w:p>
    <w:p w:rsidR="00C71638" w:rsidRPr="00CA29F5" w:rsidRDefault="00C71638" w:rsidP="00526C77">
      <w:pPr>
        <w:tabs>
          <w:tab w:val="left" w:pos="0"/>
          <w:tab w:val="left" w:pos="2160"/>
        </w:tabs>
        <w:jc w:val="both"/>
        <w:rPr>
          <w:sz w:val="22"/>
          <w:szCs w:val="22"/>
        </w:rPr>
      </w:pPr>
    </w:p>
    <w:p w:rsidR="00C71638" w:rsidRPr="00CA29F5" w:rsidRDefault="007E5265" w:rsidP="00642D8B">
      <w:pPr>
        <w:tabs>
          <w:tab w:val="left" w:pos="0"/>
          <w:tab w:val="left" w:pos="2160"/>
        </w:tabs>
        <w:jc w:val="both"/>
        <w:rPr>
          <w:sz w:val="22"/>
          <w:szCs w:val="22"/>
        </w:rPr>
      </w:pPr>
      <w:r>
        <w:rPr>
          <w:sz w:val="22"/>
          <w:szCs w:val="22"/>
        </w:rPr>
        <w:t xml:space="preserve">To identify commonalities, </w:t>
      </w:r>
      <w:r w:rsidR="00C71638" w:rsidRPr="00CA29F5">
        <w:rPr>
          <w:sz w:val="22"/>
          <w:szCs w:val="22"/>
        </w:rPr>
        <w:t>we will convene a steering committee of scientists representing marine scientists, state wildlife agencies biologists, private organizations and others (e.g. National Estuary Program, National Park Service, and National Estuarine Research Reserve biologists actively classifying estuarine and marine habitats).</w:t>
      </w:r>
      <w:r w:rsidR="0088408B">
        <w:rPr>
          <w:sz w:val="22"/>
          <w:szCs w:val="22"/>
        </w:rPr>
        <w:t xml:space="preserve"> </w:t>
      </w:r>
      <w:r w:rsidR="00C71638" w:rsidRPr="00CA29F5">
        <w:rPr>
          <w:sz w:val="22"/>
          <w:szCs w:val="22"/>
        </w:rPr>
        <w:t xml:space="preserve">Criteria for involvement will be experience in identifying estuarine and marine habitats in state waters. The main tasks of the steering committee are to </w:t>
      </w:r>
      <w:r w:rsidR="00C71638">
        <w:rPr>
          <w:sz w:val="22"/>
          <w:szCs w:val="22"/>
        </w:rPr>
        <w:t>1</w:t>
      </w:r>
      <w:r w:rsidR="00C71638" w:rsidRPr="00CA29F5">
        <w:rPr>
          <w:sz w:val="22"/>
          <w:szCs w:val="22"/>
        </w:rPr>
        <w:t xml:space="preserve">) identify existing state marine classification units; </w:t>
      </w:r>
      <w:r w:rsidR="00C71638">
        <w:rPr>
          <w:sz w:val="22"/>
          <w:szCs w:val="22"/>
        </w:rPr>
        <w:t>2</w:t>
      </w:r>
      <w:r w:rsidR="00C71638" w:rsidRPr="00CA29F5">
        <w:rPr>
          <w:sz w:val="22"/>
          <w:szCs w:val="22"/>
        </w:rPr>
        <w:t xml:space="preserve">) discuss and justify </w:t>
      </w:r>
      <w:r w:rsidR="00C71638">
        <w:rPr>
          <w:sz w:val="22"/>
          <w:szCs w:val="22"/>
        </w:rPr>
        <w:t xml:space="preserve">the </w:t>
      </w:r>
      <w:r w:rsidR="00C71638" w:rsidRPr="00CA29F5">
        <w:rPr>
          <w:sz w:val="22"/>
          <w:szCs w:val="22"/>
        </w:rPr>
        <w:t>classification crite</w:t>
      </w:r>
      <w:r w:rsidR="00C71638">
        <w:rPr>
          <w:sz w:val="22"/>
          <w:szCs w:val="22"/>
        </w:rPr>
        <w:t>ria within the Northeast Regional CMECS</w:t>
      </w:r>
      <w:r w:rsidR="00C71638" w:rsidRPr="00CA29F5">
        <w:rPr>
          <w:sz w:val="22"/>
          <w:szCs w:val="22"/>
        </w:rPr>
        <w:t xml:space="preserve">; 3) review methods used to cross-walk and calculate each unit, 4) review results including maps and charts, and 5) quality control the final report. A workshop will be held (one in the mid-Atlantic and one in the Gulf of Maine) to introduce the </w:t>
      </w:r>
      <w:r w:rsidR="00C71638">
        <w:rPr>
          <w:sz w:val="22"/>
          <w:szCs w:val="22"/>
        </w:rPr>
        <w:t>Northeast Regional CMECS</w:t>
      </w:r>
      <w:r w:rsidR="00C71638" w:rsidRPr="00CA29F5">
        <w:rPr>
          <w:sz w:val="22"/>
          <w:szCs w:val="22"/>
        </w:rPr>
        <w:t>, identify and assemble existing state classifications, and determine overlap issues and cross-walk needs.</w:t>
      </w:r>
      <w:r w:rsidR="0088408B">
        <w:rPr>
          <w:sz w:val="22"/>
          <w:szCs w:val="22"/>
        </w:rPr>
        <w:t xml:space="preserve"> </w:t>
      </w:r>
      <w:r w:rsidR="00C71638" w:rsidRPr="00CA29F5">
        <w:rPr>
          <w:sz w:val="22"/>
          <w:szCs w:val="22"/>
        </w:rPr>
        <w:t>Following these workshops, we will coordinate bi-monthly calls or Web Ex to display results of any cros</w:t>
      </w:r>
      <w:r w:rsidR="00C71638">
        <w:rPr>
          <w:sz w:val="22"/>
          <w:szCs w:val="22"/>
        </w:rPr>
        <w:t>s-walking and mapping</w:t>
      </w:r>
      <w:r w:rsidR="00C71638" w:rsidRPr="00CA29F5">
        <w:rPr>
          <w:sz w:val="22"/>
          <w:szCs w:val="22"/>
        </w:rPr>
        <w:t xml:space="preserve"> and flesh out the classification.</w:t>
      </w:r>
      <w:r w:rsidR="0088408B">
        <w:rPr>
          <w:sz w:val="22"/>
          <w:szCs w:val="22"/>
        </w:rPr>
        <w:t xml:space="preserve"> </w:t>
      </w:r>
      <w:r w:rsidR="00C71638" w:rsidRPr="00CA29F5">
        <w:rPr>
          <w:sz w:val="22"/>
          <w:szCs w:val="22"/>
        </w:rPr>
        <w:t xml:space="preserve">Where cross-walks cannot be established or where CMECS thresholds or units aren’t preferred options, potential modifications to CMECS will be proposed. </w:t>
      </w:r>
    </w:p>
    <w:p w:rsidR="00C71638" w:rsidRPr="00CA29F5" w:rsidRDefault="00C71638" w:rsidP="00526C77">
      <w:pPr>
        <w:tabs>
          <w:tab w:val="left" w:pos="0"/>
          <w:tab w:val="left" w:pos="2160"/>
        </w:tabs>
        <w:jc w:val="both"/>
        <w:rPr>
          <w:sz w:val="22"/>
          <w:szCs w:val="22"/>
        </w:rPr>
      </w:pPr>
    </w:p>
    <w:p w:rsidR="00C71638" w:rsidRPr="00CA29F5" w:rsidRDefault="00C71638" w:rsidP="00526C77">
      <w:pPr>
        <w:tabs>
          <w:tab w:val="left" w:pos="0"/>
          <w:tab w:val="left" w:pos="2160"/>
        </w:tabs>
        <w:jc w:val="both"/>
        <w:rPr>
          <w:sz w:val="22"/>
          <w:szCs w:val="22"/>
        </w:rPr>
      </w:pPr>
      <w:r w:rsidRPr="00CA29F5">
        <w:rPr>
          <w:sz w:val="22"/>
          <w:szCs w:val="22"/>
        </w:rPr>
        <w:t xml:space="preserve">The second phase of the project will be to test the </w:t>
      </w:r>
      <w:r>
        <w:rPr>
          <w:sz w:val="22"/>
          <w:szCs w:val="22"/>
        </w:rPr>
        <w:t>Northeast Regional CMECS</w:t>
      </w:r>
      <w:r w:rsidRPr="00CA29F5">
        <w:rPr>
          <w:sz w:val="22"/>
          <w:szCs w:val="22"/>
        </w:rPr>
        <w:t>, building on existing work aimed at mapping marine habitats</w:t>
      </w:r>
      <w:r>
        <w:rPr>
          <w:sz w:val="22"/>
          <w:szCs w:val="22"/>
        </w:rPr>
        <w:t xml:space="preserve"> at overlapping scales</w:t>
      </w:r>
      <w:r w:rsidRPr="00CA29F5">
        <w:rPr>
          <w:sz w:val="22"/>
          <w:szCs w:val="22"/>
        </w:rPr>
        <w:t>.</w:t>
      </w:r>
      <w:r w:rsidR="0088408B">
        <w:rPr>
          <w:sz w:val="22"/>
          <w:szCs w:val="22"/>
        </w:rPr>
        <w:t xml:space="preserve"> </w:t>
      </w:r>
      <w:r w:rsidRPr="00CA29F5">
        <w:rPr>
          <w:sz w:val="22"/>
          <w:szCs w:val="22"/>
        </w:rPr>
        <w:t xml:space="preserve">The regional scale mapping will be conducted with </w:t>
      </w:r>
      <w:r w:rsidR="007E5265">
        <w:rPr>
          <w:sz w:val="22"/>
          <w:szCs w:val="22"/>
        </w:rPr>
        <w:t>T</w:t>
      </w:r>
      <w:r w:rsidRPr="00CA29F5">
        <w:rPr>
          <w:sz w:val="22"/>
          <w:szCs w:val="22"/>
        </w:rPr>
        <w:t xml:space="preserve">he Nature Conservancy’s </w:t>
      </w:r>
      <w:r w:rsidRPr="00CA29F5">
        <w:rPr>
          <w:i/>
          <w:iCs/>
          <w:sz w:val="22"/>
          <w:szCs w:val="22"/>
        </w:rPr>
        <w:t xml:space="preserve">Northwest Atlantic Marine Ecoregional Assessment </w:t>
      </w:r>
      <w:r w:rsidRPr="00CA29F5">
        <w:rPr>
          <w:sz w:val="22"/>
          <w:szCs w:val="22"/>
        </w:rPr>
        <w:t>(</w:t>
      </w:r>
      <w:r w:rsidR="007E5265">
        <w:rPr>
          <w:sz w:val="22"/>
          <w:szCs w:val="22"/>
        </w:rPr>
        <w:t xml:space="preserve">Anderson et al. 2010, </w:t>
      </w:r>
      <w:r w:rsidRPr="00CA29F5">
        <w:rPr>
          <w:sz w:val="22"/>
          <w:szCs w:val="22"/>
        </w:rPr>
        <w:t>Greene et al</w:t>
      </w:r>
      <w:r w:rsidR="009733C6">
        <w:rPr>
          <w:sz w:val="22"/>
          <w:szCs w:val="22"/>
        </w:rPr>
        <w:t>.</w:t>
      </w:r>
      <w:r w:rsidRPr="00CA29F5">
        <w:rPr>
          <w:sz w:val="22"/>
          <w:szCs w:val="22"/>
        </w:rPr>
        <w:t xml:space="preserve"> 2010).</w:t>
      </w:r>
      <w:r w:rsidR="0088408B">
        <w:rPr>
          <w:sz w:val="22"/>
          <w:szCs w:val="22"/>
        </w:rPr>
        <w:t xml:space="preserve"> </w:t>
      </w:r>
      <w:r w:rsidRPr="00CA29F5">
        <w:rPr>
          <w:sz w:val="22"/>
          <w:szCs w:val="22"/>
        </w:rPr>
        <w:t>This assessment provides a baseline of scientific information on the distribution and status of key habitats and species across the Northwest Atlantic.</w:t>
      </w:r>
      <w:r w:rsidR="0088408B">
        <w:rPr>
          <w:sz w:val="22"/>
          <w:szCs w:val="22"/>
        </w:rPr>
        <w:t xml:space="preserve"> </w:t>
      </w:r>
      <w:r w:rsidRPr="00CA29F5">
        <w:rPr>
          <w:sz w:val="22"/>
          <w:szCs w:val="22"/>
        </w:rPr>
        <w:t xml:space="preserve">This comprehensive project coordinated eleven technical teams throughout the study area to review, compile and analyze data </w:t>
      </w:r>
      <w:r w:rsidR="009733C6">
        <w:rPr>
          <w:sz w:val="22"/>
          <w:szCs w:val="22"/>
        </w:rPr>
        <w:t>on s</w:t>
      </w:r>
      <w:r w:rsidRPr="00CA29F5">
        <w:rPr>
          <w:sz w:val="22"/>
          <w:szCs w:val="22"/>
        </w:rPr>
        <w:t>pecies and habitats</w:t>
      </w:r>
      <w:r w:rsidR="009733C6">
        <w:rPr>
          <w:sz w:val="22"/>
          <w:szCs w:val="22"/>
        </w:rPr>
        <w:t xml:space="preserve">, focusing on </w:t>
      </w:r>
      <w:r w:rsidRPr="00CA29F5">
        <w:rPr>
          <w:sz w:val="22"/>
          <w:szCs w:val="22"/>
        </w:rPr>
        <w:t xml:space="preserve">the identification of the species, habitats and ecological processes that represent the biodiversity of the region, and on the collection of data and information on </w:t>
      </w:r>
      <w:r w:rsidR="009733C6">
        <w:rPr>
          <w:sz w:val="22"/>
          <w:szCs w:val="22"/>
        </w:rPr>
        <w:t>each</w:t>
      </w:r>
      <w:r w:rsidRPr="00CA29F5">
        <w:rPr>
          <w:sz w:val="22"/>
          <w:szCs w:val="22"/>
        </w:rPr>
        <w:t xml:space="preserve"> targets’ ecology, </w:t>
      </w:r>
      <w:r w:rsidR="007E5265">
        <w:rPr>
          <w:sz w:val="22"/>
          <w:szCs w:val="22"/>
        </w:rPr>
        <w:t>and d</w:t>
      </w:r>
      <w:r w:rsidRPr="00CA29F5">
        <w:rPr>
          <w:sz w:val="22"/>
          <w:szCs w:val="22"/>
        </w:rPr>
        <w:t>istribution.</w:t>
      </w:r>
      <w:r w:rsidR="0088408B">
        <w:rPr>
          <w:sz w:val="22"/>
          <w:szCs w:val="22"/>
        </w:rPr>
        <w:t xml:space="preserve"> </w:t>
      </w:r>
      <w:r w:rsidRPr="00CA29F5">
        <w:rPr>
          <w:sz w:val="22"/>
          <w:szCs w:val="22"/>
        </w:rPr>
        <w:t>A key product of the assessment, created by the seafloor habitat technical team, was a map of benthic settings based on sediment grain size, seabed form</w:t>
      </w:r>
      <w:r w:rsidR="007E5265">
        <w:rPr>
          <w:sz w:val="22"/>
          <w:szCs w:val="22"/>
        </w:rPr>
        <w:t xml:space="preserve"> (i.e. bottom topography)</w:t>
      </w:r>
      <w:r w:rsidRPr="00CA29F5">
        <w:rPr>
          <w:sz w:val="22"/>
          <w:szCs w:val="22"/>
        </w:rPr>
        <w:t xml:space="preserve"> and bathymetry. Although the assessment team reviewed a variety of proposed marine classification systems, no particular scheme was endorsed or adopted; rather the information and distribution patterns were mapped directly from the data, allowing the information to be cross walked and fit into various classification schemes – as we propose to do here.</w:t>
      </w:r>
    </w:p>
    <w:p w:rsidR="00C71638" w:rsidRPr="00CA29F5" w:rsidRDefault="00C71638" w:rsidP="00526C77">
      <w:pPr>
        <w:tabs>
          <w:tab w:val="left" w:pos="0"/>
          <w:tab w:val="left" w:pos="2160"/>
        </w:tabs>
        <w:jc w:val="both"/>
        <w:rPr>
          <w:sz w:val="22"/>
          <w:szCs w:val="22"/>
        </w:rPr>
      </w:pPr>
    </w:p>
    <w:p w:rsidR="00C71638" w:rsidRPr="00CA29F5" w:rsidRDefault="00C71638" w:rsidP="00526C77">
      <w:pPr>
        <w:tabs>
          <w:tab w:val="left" w:pos="0"/>
          <w:tab w:val="left" w:pos="2160"/>
        </w:tabs>
        <w:jc w:val="both"/>
        <w:rPr>
          <w:sz w:val="22"/>
          <w:szCs w:val="22"/>
        </w:rPr>
      </w:pPr>
      <w:r w:rsidRPr="00CA29F5">
        <w:rPr>
          <w:sz w:val="22"/>
          <w:szCs w:val="22"/>
        </w:rPr>
        <w:t xml:space="preserve">In Massachusetts and Rhode Island, the interest in developing offshore renewable energy resources motivated extensive state support of the collection and compilation of datasets to inform marine spatial </w:t>
      </w:r>
      <w:r w:rsidRPr="00CA29F5">
        <w:rPr>
          <w:sz w:val="22"/>
          <w:szCs w:val="22"/>
        </w:rPr>
        <w:lastRenderedPageBreak/>
        <w:t>planning</w:t>
      </w:r>
      <w:r>
        <w:rPr>
          <w:sz w:val="22"/>
          <w:szCs w:val="22"/>
        </w:rPr>
        <w:t xml:space="preserve"> on state-wide scales</w:t>
      </w:r>
      <w:r w:rsidRPr="00CA29F5">
        <w:rPr>
          <w:sz w:val="22"/>
          <w:szCs w:val="22"/>
        </w:rPr>
        <w:t>.</w:t>
      </w:r>
      <w:r w:rsidR="0088408B">
        <w:rPr>
          <w:sz w:val="22"/>
          <w:szCs w:val="22"/>
        </w:rPr>
        <w:t xml:space="preserve"> </w:t>
      </w:r>
      <w:r w:rsidRPr="00CA29F5">
        <w:rPr>
          <w:sz w:val="22"/>
          <w:szCs w:val="22"/>
        </w:rPr>
        <w:t>Large portions of these efforts were designed for inventory and cataloging purposes.</w:t>
      </w:r>
      <w:r w:rsidR="0088408B">
        <w:rPr>
          <w:sz w:val="22"/>
          <w:szCs w:val="22"/>
        </w:rPr>
        <w:t xml:space="preserve"> </w:t>
      </w:r>
      <w:r w:rsidRPr="00CA29F5">
        <w:rPr>
          <w:sz w:val="22"/>
          <w:szCs w:val="22"/>
        </w:rPr>
        <w:t>Similarly to</w:t>
      </w:r>
      <w:r w:rsidR="009733C6">
        <w:rPr>
          <w:sz w:val="22"/>
          <w:szCs w:val="22"/>
        </w:rPr>
        <w:t xml:space="preserve"> the Conservancy’s assessment</w:t>
      </w:r>
      <w:r w:rsidRPr="00CA29F5">
        <w:rPr>
          <w:sz w:val="22"/>
          <w:szCs w:val="22"/>
        </w:rPr>
        <w:t xml:space="preserve">, no standard marine habitat classification has yet been selected as a framework for those data, and they can be utilized to test the </w:t>
      </w:r>
      <w:r>
        <w:rPr>
          <w:sz w:val="22"/>
          <w:szCs w:val="22"/>
        </w:rPr>
        <w:t>Northeast Regional CMECS</w:t>
      </w:r>
      <w:r w:rsidRPr="00CA29F5">
        <w:rPr>
          <w:sz w:val="22"/>
          <w:szCs w:val="22"/>
        </w:rPr>
        <w:t>.</w:t>
      </w:r>
    </w:p>
    <w:p w:rsidR="00C71638" w:rsidRPr="00CA29F5" w:rsidRDefault="00C71638" w:rsidP="00526C77">
      <w:pPr>
        <w:tabs>
          <w:tab w:val="left" w:pos="0"/>
          <w:tab w:val="left" w:pos="2160"/>
        </w:tabs>
        <w:jc w:val="both"/>
        <w:rPr>
          <w:sz w:val="22"/>
          <w:szCs w:val="22"/>
        </w:rPr>
      </w:pPr>
    </w:p>
    <w:p w:rsidR="00C71638" w:rsidRPr="00CA29F5" w:rsidRDefault="00C71638" w:rsidP="00E43383">
      <w:pPr>
        <w:tabs>
          <w:tab w:val="left" w:pos="0"/>
          <w:tab w:val="left" w:pos="2160"/>
        </w:tabs>
        <w:jc w:val="both"/>
        <w:rPr>
          <w:sz w:val="22"/>
          <w:szCs w:val="22"/>
        </w:rPr>
      </w:pPr>
      <w:proofErr w:type="gramStart"/>
      <w:r w:rsidRPr="00CA29F5">
        <w:rPr>
          <w:sz w:val="22"/>
          <w:szCs w:val="22"/>
        </w:rPr>
        <w:t>Watershed,</w:t>
      </w:r>
      <w:proofErr w:type="gramEnd"/>
      <w:r w:rsidRPr="00CA29F5">
        <w:rPr>
          <w:sz w:val="22"/>
          <w:szCs w:val="22"/>
        </w:rPr>
        <w:t xml:space="preserve"> or local scale classifications are also important</w:t>
      </w:r>
      <w:r>
        <w:rPr>
          <w:sz w:val="22"/>
          <w:szCs w:val="22"/>
        </w:rPr>
        <w:t xml:space="preserve"> because it is often at this scale that humans directly interact with the environment</w:t>
      </w:r>
      <w:r w:rsidRPr="00CA29F5">
        <w:rPr>
          <w:sz w:val="22"/>
          <w:szCs w:val="22"/>
        </w:rPr>
        <w:t>.</w:t>
      </w:r>
      <w:r w:rsidR="0088408B">
        <w:rPr>
          <w:sz w:val="22"/>
          <w:szCs w:val="22"/>
        </w:rPr>
        <w:t xml:space="preserve"> </w:t>
      </w:r>
      <w:r w:rsidRPr="00CA29F5">
        <w:rPr>
          <w:sz w:val="22"/>
          <w:szCs w:val="22"/>
        </w:rPr>
        <w:t xml:space="preserve">Several projects exist within Massachusetts that are assembling (or have assembled) </w:t>
      </w:r>
      <w:proofErr w:type="spellStart"/>
      <w:r w:rsidRPr="00CA29F5">
        <w:rPr>
          <w:sz w:val="22"/>
          <w:szCs w:val="22"/>
        </w:rPr>
        <w:t>waterbody</w:t>
      </w:r>
      <w:proofErr w:type="spellEnd"/>
      <w:r w:rsidRPr="00CA29F5">
        <w:rPr>
          <w:sz w:val="22"/>
          <w:szCs w:val="22"/>
        </w:rPr>
        <w:t>-specific datasets.</w:t>
      </w:r>
      <w:r w:rsidR="0088408B">
        <w:rPr>
          <w:sz w:val="22"/>
          <w:szCs w:val="22"/>
        </w:rPr>
        <w:t xml:space="preserve"> </w:t>
      </w:r>
      <w:r w:rsidRPr="00CA29F5">
        <w:rPr>
          <w:sz w:val="22"/>
          <w:szCs w:val="22"/>
        </w:rPr>
        <w:t>For example, the Massachusetts Bays National Estuary Project is assembling a Boston Harbor watershed atlas.</w:t>
      </w:r>
      <w:r w:rsidR="0088408B">
        <w:rPr>
          <w:sz w:val="22"/>
          <w:szCs w:val="22"/>
        </w:rPr>
        <w:t xml:space="preserve"> </w:t>
      </w:r>
      <w:r w:rsidRPr="00CA29F5">
        <w:rPr>
          <w:sz w:val="22"/>
          <w:szCs w:val="22"/>
        </w:rPr>
        <w:t>Boston Harbor is a particularly well-studied estuary due to two decades of high</w:t>
      </w:r>
      <w:r>
        <w:rPr>
          <w:sz w:val="22"/>
          <w:szCs w:val="22"/>
        </w:rPr>
        <w:t>-</w:t>
      </w:r>
      <w:r w:rsidRPr="00CA29F5">
        <w:rPr>
          <w:sz w:val="22"/>
          <w:szCs w:val="22"/>
        </w:rPr>
        <w:t>resolution benthos and water quality monitoring preceding and anteceding a major overhaul of the wastewater system in the Greater Boston Area.</w:t>
      </w:r>
      <w:r w:rsidR="0088408B">
        <w:rPr>
          <w:sz w:val="22"/>
          <w:szCs w:val="22"/>
        </w:rPr>
        <w:t xml:space="preserve"> </w:t>
      </w:r>
      <w:r w:rsidRPr="00CA29F5">
        <w:rPr>
          <w:sz w:val="22"/>
          <w:szCs w:val="22"/>
        </w:rPr>
        <w:t>The purpose of the atlas is directed at conservation and restoration needs.</w:t>
      </w:r>
      <w:r w:rsidR="0088408B">
        <w:rPr>
          <w:sz w:val="22"/>
          <w:szCs w:val="22"/>
        </w:rPr>
        <w:t xml:space="preserve"> </w:t>
      </w:r>
      <w:r w:rsidRPr="00CA29F5">
        <w:rPr>
          <w:sz w:val="22"/>
          <w:szCs w:val="22"/>
        </w:rPr>
        <w:t xml:space="preserve">This database will be utilized to test the </w:t>
      </w:r>
      <w:r>
        <w:rPr>
          <w:sz w:val="22"/>
          <w:szCs w:val="22"/>
        </w:rPr>
        <w:t>Northeast Regional CMECS</w:t>
      </w:r>
      <w:r w:rsidRPr="00CA29F5">
        <w:rPr>
          <w:sz w:val="22"/>
          <w:szCs w:val="22"/>
        </w:rPr>
        <w:t xml:space="preserve"> as well as compare or cross-walk any classification schemes designed for that </w:t>
      </w:r>
      <w:proofErr w:type="spellStart"/>
      <w:r w:rsidRPr="00CA29F5">
        <w:rPr>
          <w:sz w:val="22"/>
          <w:szCs w:val="22"/>
        </w:rPr>
        <w:t>waterbody</w:t>
      </w:r>
      <w:proofErr w:type="spellEnd"/>
      <w:r>
        <w:rPr>
          <w:sz w:val="22"/>
          <w:szCs w:val="22"/>
        </w:rPr>
        <w:t xml:space="preserve"> in the process of building the atlas</w:t>
      </w:r>
      <w:r w:rsidRPr="00CA29F5">
        <w:rPr>
          <w:sz w:val="22"/>
          <w:szCs w:val="22"/>
        </w:rPr>
        <w:t>.</w:t>
      </w:r>
      <w:r>
        <w:rPr>
          <w:sz w:val="22"/>
          <w:szCs w:val="22"/>
        </w:rPr>
        <w:t xml:space="preserve"> By using data collected at overlapping scales, we will be able to assess the ability of the Northeast Regional CMECS to characterize habitats consistently at the various scales relevant to spatial planning and conservation efforts. Our goal is to create maps that cleanly overlay each other and reflect the hierarchical structure of the classification.</w:t>
      </w:r>
    </w:p>
    <w:p w:rsidR="00C71638" w:rsidRPr="00CA29F5" w:rsidRDefault="00C71638" w:rsidP="0005683F">
      <w:pPr>
        <w:tabs>
          <w:tab w:val="left" w:pos="0"/>
          <w:tab w:val="left" w:pos="2160"/>
        </w:tabs>
        <w:jc w:val="both"/>
        <w:rPr>
          <w:sz w:val="22"/>
          <w:szCs w:val="22"/>
        </w:rPr>
      </w:pPr>
    </w:p>
    <w:p w:rsidR="00C71638" w:rsidRPr="00CA29F5" w:rsidRDefault="00C71638" w:rsidP="0005683F">
      <w:pPr>
        <w:tabs>
          <w:tab w:val="left" w:pos="0"/>
          <w:tab w:val="left" w:pos="2160"/>
        </w:tabs>
        <w:jc w:val="both"/>
        <w:rPr>
          <w:sz w:val="22"/>
          <w:szCs w:val="22"/>
        </w:rPr>
      </w:pPr>
      <w:r w:rsidRPr="00CA29F5">
        <w:rPr>
          <w:b/>
          <w:bCs/>
          <w:sz w:val="22"/>
          <w:szCs w:val="22"/>
        </w:rPr>
        <w:t xml:space="preserve">Timeline: </w:t>
      </w:r>
    </w:p>
    <w:p w:rsidR="00C71638" w:rsidRPr="00CA29F5" w:rsidRDefault="00C71638" w:rsidP="004A778B">
      <w:pPr>
        <w:tabs>
          <w:tab w:val="left" w:pos="0"/>
          <w:tab w:val="left" w:pos="2160"/>
        </w:tabs>
        <w:jc w:val="both"/>
        <w:rPr>
          <w:sz w:val="22"/>
          <w:szCs w:val="22"/>
        </w:rPr>
      </w:pPr>
      <w:r w:rsidRPr="00CA29F5">
        <w:rPr>
          <w:sz w:val="22"/>
          <w:szCs w:val="22"/>
        </w:rPr>
        <w:t>January-April 2012</w:t>
      </w:r>
      <w:r w:rsidRPr="00CA29F5">
        <w:rPr>
          <w:sz w:val="22"/>
          <w:szCs w:val="22"/>
        </w:rPr>
        <w:tab/>
        <w:t xml:space="preserve"> </w:t>
      </w:r>
      <w:r w:rsidRPr="00CA29F5">
        <w:rPr>
          <w:sz w:val="22"/>
          <w:szCs w:val="22"/>
        </w:rPr>
        <w:tab/>
        <w:t xml:space="preserve">Phase 1 </w:t>
      </w:r>
      <w:r w:rsidR="007E5265">
        <w:rPr>
          <w:sz w:val="22"/>
          <w:szCs w:val="22"/>
        </w:rPr>
        <w:t>-</w:t>
      </w:r>
      <w:r w:rsidRPr="00CA29F5">
        <w:rPr>
          <w:sz w:val="22"/>
          <w:szCs w:val="22"/>
        </w:rPr>
        <w:t>Merging</w:t>
      </w:r>
      <w:r>
        <w:rPr>
          <w:sz w:val="22"/>
          <w:szCs w:val="22"/>
        </w:rPr>
        <w:t>, identification of steering committee members</w:t>
      </w:r>
    </w:p>
    <w:p w:rsidR="00C71638" w:rsidRPr="00CA29F5" w:rsidRDefault="00C71638" w:rsidP="004A778B">
      <w:pPr>
        <w:tabs>
          <w:tab w:val="left" w:pos="0"/>
          <w:tab w:val="left" w:pos="2160"/>
        </w:tabs>
        <w:jc w:val="both"/>
        <w:rPr>
          <w:sz w:val="22"/>
          <w:szCs w:val="22"/>
        </w:rPr>
      </w:pPr>
      <w:r w:rsidRPr="00CA29F5">
        <w:rPr>
          <w:sz w:val="22"/>
          <w:szCs w:val="22"/>
        </w:rPr>
        <w:t>May 2012</w:t>
      </w:r>
      <w:r w:rsidRPr="00CA29F5">
        <w:rPr>
          <w:sz w:val="22"/>
          <w:szCs w:val="22"/>
        </w:rPr>
        <w:tab/>
      </w:r>
      <w:r w:rsidRPr="00CA29F5">
        <w:rPr>
          <w:sz w:val="22"/>
          <w:szCs w:val="22"/>
        </w:rPr>
        <w:tab/>
      </w:r>
      <w:proofErr w:type="gramStart"/>
      <w:r w:rsidRPr="00CA29F5">
        <w:rPr>
          <w:sz w:val="22"/>
          <w:szCs w:val="22"/>
        </w:rPr>
        <w:t>Phase</w:t>
      </w:r>
      <w:proofErr w:type="gramEnd"/>
      <w:r w:rsidRPr="00CA29F5">
        <w:rPr>
          <w:sz w:val="22"/>
          <w:szCs w:val="22"/>
        </w:rPr>
        <w:t xml:space="preserve"> 1 </w:t>
      </w:r>
      <w:r w:rsidR="007E5265">
        <w:rPr>
          <w:sz w:val="22"/>
          <w:szCs w:val="22"/>
        </w:rPr>
        <w:t>-</w:t>
      </w:r>
      <w:r w:rsidRPr="00CA29F5">
        <w:rPr>
          <w:sz w:val="22"/>
          <w:szCs w:val="22"/>
        </w:rPr>
        <w:t>Workshops</w:t>
      </w:r>
    </w:p>
    <w:p w:rsidR="00C71638" w:rsidRPr="00CA29F5" w:rsidRDefault="00C71638" w:rsidP="004A778B">
      <w:pPr>
        <w:tabs>
          <w:tab w:val="left" w:pos="0"/>
          <w:tab w:val="left" w:pos="2160"/>
        </w:tabs>
        <w:jc w:val="both"/>
        <w:rPr>
          <w:sz w:val="22"/>
          <w:szCs w:val="22"/>
        </w:rPr>
      </w:pPr>
      <w:r w:rsidRPr="00CA29F5">
        <w:rPr>
          <w:sz w:val="22"/>
          <w:szCs w:val="22"/>
        </w:rPr>
        <w:t>June-</w:t>
      </w:r>
      <w:r>
        <w:rPr>
          <w:sz w:val="22"/>
          <w:szCs w:val="22"/>
        </w:rPr>
        <w:t>December</w:t>
      </w:r>
      <w:r w:rsidRPr="00CA29F5">
        <w:rPr>
          <w:sz w:val="22"/>
          <w:szCs w:val="22"/>
        </w:rPr>
        <w:t xml:space="preserve"> 2012</w:t>
      </w:r>
      <w:r w:rsidRPr="00CA29F5">
        <w:rPr>
          <w:sz w:val="22"/>
          <w:szCs w:val="22"/>
        </w:rPr>
        <w:tab/>
      </w:r>
      <w:r w:rsidRPr="00CA29F5">
        <w:rPr>
          <w:sz w:val="22"/>
          <w:szCs w:val="22"/>
        </w:rPr>
        <w:tab/>
        <w:t xml:space="preserve">Phase 1 </w:t>
      </w:r>
      <w:r w:rsidR="007E5265">
        <w:rPr>
          <w:sz w:val="22"/>
          <w:szCs w:val="22"/>
        </w:rPr>
        <w:t>-P</w:t>
      </w:r>
      <w:r w:rsidRPr="00CA29F5">
        <w:rPr>
          <w:sz w:val="22"/>
          <w:szCs w:val="22"/>
        </w:rPr>
        <w:t xml:space="preserve">hone conferences, development of </w:t>
      </w:r>
      <w:r>
        <w:rPr>
          <w:sz w:val="22"/>
          <w:szCs w:val="22"/>
        </w:rPr>
        <w:t>classification</w:t>
      </w:r>
    </w:p>
    <w:p w:rsidR="00C71638" w:rsidRDefault="00C71638" w:rsidP="004A778B">
      <w:pPr>
        <w:tabs>
          <w:tab w:val="left" w:pos="0"/>
          <w:tab w:val="left" w:pos="2160"/>
        </w:tabs>
        <w:jc w:val="both"/>
        <w:rPr>
          <w:sz w:val="22"/>
          <w:szCs w:val="22"/>
        </w:rPr>
      </w:pPr>
      <w:r>
        <w:rPr>
          <w:sz w:val="22"/>
          <w:szCs w:val="22"/>
        </w:rPr>
        <w:t>January - July</w:t>
      </w:r>
      <w:r w:rsidRPr="00CA29F5">
        <w:rPr>
          <w:sz w:val="22"/>
          <w:szCs w:val="22"/>
        </w:rPr>
        <w:t xml:space="preserve"> 201</w:t>
      </w:r>
      <w:r>
        <w:rPr>
          <w:sz w:val="22"/>
          <w:szCs w:val="22"/>
        </w:rPr>
        <w:t>3</w:t>
      </w:r>
      <w:r w:rsidRPr="00CA29F5">
        <w:rPr>
          <w:sz w:val="22"/>
          <w:szCs w:val="22"/>
        </w:rPr>
        <w:tab/>
      </w:r>
      <w:r>
        <w:rPr>
          <w:sz w:val="22"/>
          <w:szCs w:val="22"/>
        </w:rPr>
        <w:tab/>
      </w:r>
      <w:r w:rsidRPr="00CA29F5">
        <w:rPr>
          <w:sz w:val="22"/>
          <w:szCs w:val="22"/>
        </w:rPr>
        <w:t xml:space="preserve">Phase 2 </w:t>
      </w:r>
      <w:r w:rsidR="007E5265">
        <w:rPr>
          <w:sz w:val="22"/>
          <w:szCs w:val="22"/>
        </w:rPr>
        <w:t>-P</w:t>
      </w:r>
      <w:r w:rsidRPr="00CA29F5">
        <w:rPr>
          <w:sz w:val="22"/>
          <w:szCs w:val="22"/>
        </w:rPr>
        <w:t>ilot projects apply the classification</w:t>
      </w:r>
    </w:p>
    <w:p w:rsidR="00C71638" w:rsidRDefault="00C71638" w:rsidP="004A778B">
      <w:pPr>
        <w:tabs>
          <w:tab w:val="left" w:pos="0"/>
          <w:tab w:val="left" w:pos="2160"/>
        </w:tabs>
        <w:jc w:val="both"/>
        <w:rPr>
          <w:sz w:val="22"/>
          <w:szCs w:val="22"/>
        </w:rPr>
      </w:pPr>
      <w:r>
        <w:rPr>
          <w:sz w:val="22"/>
          <w:szCs w:val="22"/>
        </w:rPr>
        <w:t>August-December 2013</w:t>
      </w:r>
      <w:r>
        <w:rPr>
          <w:sz w:val="22"/>
          <w:szCs w:val="22"/>
        </w:rPr>
        <w:tab/>
      </w:r>
      <w:r>
        <w:rPr>
          <w:sz w:val="22"/>
          <w:szCs w:val="22"/>
        </w:rPr>
        <w:tab/>
        <w:t xml:space="preserve">Prepare Final </w:t>
      </w:r>
      <w:r w:rsidR="007E5265">
        <w:rPr>
          <w:sz w:val="22"/>
          <w:szCs w:val="22"/>
        </w:rPr>
        <w:t>Deliverables</w:t>
      </w:r>
    </w:p>
    <w:p w:rsidR="00C71638" w:rsidRPr="00CA29F5" w:rsidRDefault="00C71638" w:rsidP="00E05847">
      <w:pPr>
        <w:rPr>
          <w:sz w:val="22"/>
          <w:szCs w:val="22"/>
        </w:rPr>
      </w:pPr>
    </w:p>
    <w:p w:rsidR="00C71638" w:rsidRPr="00CA29F5" w:rsidRDefault="00F843B3" w:rsidP="00DB6F31">
      <w:pPr>
        <w:rPr>
          <w:sz w:val="22"/>
          <w:szCs w:val="22"/>
        </w:rPr>
      </w:pPr>
      <w:r>
        <w:rPr>
          <w:b/>
          <w:bCs/>
          <w:sz w:val="22"/>
          <w:szCs w:val="22"/>
        </w:rPr>
        <w:t>Deliverables</w:t>
      </w:r>
      <w:r w:rsidR="00C71638" w:rsidRPr="00CA29F5">
        <w:rPr>
          <w:b/>
          <w:bCs/>
          <w:sz w:val="22"/>
          <w:szCs w:val="22"/>
        </w:rPr>
        <w:t>:</w:t>
      </w:r>
      <w:r w:rsidR="00C71638" w:rsidRPr="00CA29F5">
        <w:rPr>
          <w:sz w:val="22"/>
          <w:szCs w:val="22"/>
        </w:rPr>
        <w:t xml:space="preserve"> A </w:t>
      </w:r>
      <w:r w:rsidR="00C71638" w:rsidRPr="00780176">
        <w:rPr>
          <w:sz w:val="22"/>
          <w:szCs w:val="22"/>
          <w:u w:val="single"/>
        </w:rPr>
        <w:t>report</w:t>
      </w:r>
      <w:r w:rsidR="00C71638" w:rsidRPr="00CA29F5">
        <w:rPr>
          <w:sz w:val="22"/>
          <w:szCs w:val="22"/>
        </w:rPr>
        <w:t xml:space="preserve"> including a description of the classification units, detail on how each component is cross walked, the sources of data used to evaluate the component, and identification of departures from CMECS will be generated.</w:t>
      </w:r>
      <w:r w:rsidR="0088408B">
        <w:rPr>
          <w:sz w:val="22"/>
          <w:szCs w:val="22"/>
        </w:rPr>
        <w:t xml:space="preserve"> </w:t>
      </w:r>
      <w:r w:rsidR="00C71638" w:rsidRPr="00CA29F5">
        <w:rPr>
          <w:sz w:val="22"/>
          <w:szCs w:val="22"/>
        </w:rPr>
        <w:t xml:space="preserve">An </w:t>
      </w:r>
      <w:r w:rsidR="00C71638" w:rsidRPr="00780176">
        <w:rPr>
          <w:sz w:val="22"/>
          <w:szCs w:val="22"/>
          <w:u w:val="single"/>
        </w:rPr>
        <w:t>excel spreadsheet</w:t>
      </w:r>
      <w:r w:rsidR="00C71638" w:rsidRPr="00CA29F5">
        <w:rPr>
          <w:sz w:val="22"/>
          <w:szCs w:val="22"/>
        </w:rPr>
        <w:t xml:space="preserve"> containing the units in the same or similar format to the existing Northeast Regional Habitat Classification System will also be generated. </w:t>
      </w:r>
      <w:r w:rsidR="00C71638" w:rsidRPr="00780176">
        <w:rPr>
          <w:sz w:val="22"/>
          <w:szCs w:val="22"/>
          <w:u w:val="single"/>
        </w:rPr>
        <w:t>Three maps</w:t>
      </w:r>
      <w:r w:rsidR="00C71638" w:rsidRPr="00CA29F5">
        <w:rPr>
          <w:sz w:val="22"/>
          <w:szCs w:val="22"/>
        </w:rPr>
        <w:t xml:space="preserve"> with habitats classified at regional (1:5,000,000), </w:t>
      </w:r>
      <w:proofErr w:type="spellStart"/>
      <w:r w:rsidR="00C71638" w:rsidRPr="00CA29F5">
        <w:rPr>
          <w:sz w:val="22"/>
          <w:szCs w:val="22"/>
        </w:rPr>
        <w:t>subregional</w:t>
      </w:r>
      <w:proofErr w:type="spellEnd"/>
      <w:r w:rsidR="00C71638" w:rsidRPr="00CA29F5">
        <w:rPr>
          <w:sz w:val="22"/>
          <w:szCs w:val="22"/>
        </w:rPr>
        <w:t xml:space="preserve"> (1:250,000), and local (1:5,000) scales will be included in the final report.</w:t>
      </w:r>
      <w:r w:rsidR="0088408B">
        <w:rPr>
          <w:sz w:val="22"/>
          <w:szCs w:val="22"/>
        </w:rPr>
        <w:t xml:space="preserve"> </w:t>
      </w:r>
    </w:p>
    <w:p w:rsidR="00C71638" w:rsidRDefault="00C71638" w:rsidP="004A778B">
      <w:pPr>
        <w:rPr>
          <w:sz w:val="22"/>
          <w:szCs w:val="22"/>
        </w:rPr>
      </w:pPr>
    </w:p>
    <w:p w:rsidR="00C71638" w:rsidRPr="00D97EE0" w:rsidRDefault="00C71638" w:rsidP="004A778B">
      <w:pPr>
        <w:rPr>
          <w:b/>
          <w:bCs/>
          <w:sz w:val="22"/>
          <w:szCs w:val="22"/>
        </w:rPr>
      </w:pPr>
      <w:r w:rsidRPr="00D97EE0">
        <w:rPr>
          <w:b/>
          <w:bCs/>
          <w:sz w:val="22"/>
          <w:szCs w:val="22"/>
        </w:rPr>
        <w:t>Budget</w:t>
      </w:r>
    </w:p>
    <w:tbl>
      <w:tblPr>
        <w:tblW w:w="9064" w:type="dxa"/>
        <w:tblInd w:w="93" w:type="dxa"/>
        <w:tblLook w:val="00A0"/>
      </w:tblPr>
      <w:tblGrid>
        <w:gridCol w:w="1962"/>
        <w:gridCol w:w="1535"/>
        <w:gridCol w:w="1800"/>
        <w:gridCol w:w="365"/>
        <w:gridCol w:w="265"/>
        <w:gridCol w:w="1445"/>
        <w:gridCol w:w="141"/>
        <w:gridCol w:w="1551"/>
      </w:tblGrid>
      <w:tr w:rsidR="007C37D2" w:rsidTr="007C37D2">
        <w:trPr>
          <w:gridAfter w:val="2"/>
          <w:wAfter w:w="1692" w:type="dxa"/>
          <w:trHeight w:val="300"/>
        </w:trPr>
        <w:tc>
          <w:tcPr>
            <w:tcW w:w="1962" w:type="dxa"/>
            <w:tcBorders>
              <w:top w:val="single" w:sz="8" w:space="0" w:color="auto"/>
              <w:left w:val="single" w:sz="8" w:space="0" w:color="auto"/>
              <w:bottom w:val="single" w:sz="4" w:space="0" w:color="auto"/>
              <w:right w:val="single" w:sz="4" w:space="0" w:color="auto"/>
            </w:tcBorders>
            <w:noWrap/>
            <w:vAlign w:val="bottom"/>
          </w:tcPr>
          <w:p w:rsidR="007C37D2" w:rsidRDefault="007C37D2" w:rsidP="001F44DC">
            <w:pPr>
              <w:rPr>
                <w:rFonts w:ascii="Calibri" w:hAnsi="Calibri" w:cs="Calibri"/>
                <w:color w:val="000000"/>
              </w:rPr>
            </w:pPr>
            <w:r>
              <w:rPr>
                <w:rFonts w:ascii="Calibri" w:hAnsi="Calibri" w:cs="Calibri"/>
                <w:color w:val="000000"/>
                <w:sz w:val="22"/>
                <w:szCs w:val="22"/>
              </w:rPr>
              <w:t> </w:t>
            </w:r>
          </w:p>
        </w:tc>
        <w:tc>
          <w:tcPr>
            <w:tcW w:w="1535" w:type="dxa"/>
            <w:tcBorders>
              <w:top w:val="single" w:sz="8" w:space="0" w:color="auto"/>
              <w:left w:val="nil"/>
              <w:bottom w:val="single" w:sz="4" w:space="0" w:color="auto"/>
              <w:right w:val="single" w:sz="4" w:space="0" w:color="auto"/>
            </w:tcBorders>
            <w:noWrap/>
            <w:vAlign w:val="bottom"/>
          </w:tcPr>
          <w:p w:rsidR="007C37D2" w:rsidRDefault="007C37D2" w:rsidP="001F44DC">
            <w:pPr>
              <w:rPr>
                <w:rFonts w:ascii="Calibri" w:hAnsi="Calibri" w:cs="Calibri"/>
                <w:color w:val="000000"/>
              </w:rPr>
            </w:pPr>
            <w:r>
              <w:rPr>
                <w:rFonts w:ascii="Calibri" w:hAnsi="Calibri" w:cs="Calibri"/>
                <w:color w:val="000000"/>
                <w:sz w:val="22"/>
                <w:szCs w:val="22"/>
              </w:rPr>
              <w:t>RCN Request</w:t>
            </w:r>
          </w:p>
        </w:tc>
        <w:tc>
          <w:tcPr>
            <w:tcW w:w="1800" w:type="dxa"/>
            <w:tcBorders>
              <w:top w:val="single" w:sz="8" w:space="0" w:color="auto"/>
              <w:left w:val="nil"/>
              <w:bottom w:val="single" w:sz="4" w:space="0" w:color="auto"/>
              <w:right w:val="single" w:sz="4" w:space="0" w:color="auto"/>
            </w:tcBorders>
            <w:noWrap/>
            <w:vAlign w:val="bottom"/>
          </w:tcPr>
          <w:p w:rsidR="007C37D2" w:rsidRDefault="007C37D2" w:rsidP="001F44DC">
            <w:pPr>
              <w:rPr>
                <w:rFonts w:ascii="Calibri" w:hAnsi="Calibri" w:cs="Calibri"/>
                <w:color w:val="000000"/>
              </w:rPr>
            </w:pPr>
            <w:r>
              <w:rPr>
                <w:rFonts w:ascii="Calibri" w:hAnsi="Calibri" w:cs="Calibri"/>
                <w:color w:val="000000"/>
                <w:sz w:val="22"/>
                <w:szCs w:val="22"/>
              </w:rPr>
              <w:t xml:space="preserve"> Match</w:t>
            </w:r>
          </w:p>
        </w:tc>
        <w:tc>
          <w:tcPr>
            <w:tcW w:w="2075" w:type="dxa"/>
            <w:gridSpan w:val="3"/>
            <w:tcBorders>
              <w:top w:val="single" w:sz="8" w:space="0" w:color="auto"/>
              <w:left w:val="nil"/>
              <w:bottom w:val="single" w:sz="4" w:space="0" w:color="auto"/>
              <w:right w:val="single" w:sz="8" w:space="0" w:color="auto"/>
            </w:tcBorders>
            <w:noWrap/>
            <w:vAlign w:val="bottom"/>
          </w:tcPr>
          <w:p w:rsidR="007C37D2" w:rsidRDefault="007C37D2" w:rsidP="001F44DC">
            <w:pPr>
              <w:rPr>
                <w:rFonts w:ascii="Calibri" w:hAnsi="Calibri" w:cs="Calibri"/>
                <w:color w:val="000000"/>
              </w:rPr>
            </w:pPr>
            <w:r>
              <w:rPr>
                <w:rFonts w:ascii="Calibri" w:hAnsi="Calibri" w:cs="Calibri"/>
                <w:color w:val="000000"/>
                <w:sz w:val="22"/>
                <w:szCs w:val="22"/>
              </w:rPr>
              <w:t>Total Cost</w:t>
            </w:r>
          </w:p>
        </w:tc>
      </w:tr>
      <w:tr w:rsidR="007C37D2" w:rsidTr="007C37D2">
        <w:trPr>
          <w:gridAfter w:val="2"/>
          <w:wAfter w:w="1692" w:type="dxa"/>
          <w:trHeight w:val="300"/>
        </w:trPr>
        <w:tc>
          <w:tcPr>
            <w:tcW w:w="1962" w:type="dxa"/>
            <w:tcBorders>
              <w:top w:val="nil"/>
              <w:left w:val="single" w:sz="8" w:space="0" w:color="auto"/>
              <w:bottom w:val="single" w:sz="4" w:space="0" w:color="auto"/>
              <w:right w:val="single" w:sz="4" w:space="0" w:color="auto"/>
            </w:tcBorders>
            <w:noWrap/>
            <w:vAlign w:val="bottom"/>
          </w:tcPr>
          <w:p w:rsidR="007C37D2" w:rsidRDefault="007C37D2" w:rsidP="001F44DC">
            <w:pPr>
              <w:rPr>
                <w:rFonts w:ascii="Calibri" w:hAnsi="Calibri" w:cs="Calibri"/>
                <w:color w:val="000000"/>
              </w:rPr>
            </w:pPr>
            <w:r>
              <w:rPr>
                <w:rFonts w:ascii="Calibri" w:hAnsi="Calibri" w:cs="Calibri"/>
                <w:color w:val="000000"/>
                <w:sz w:val="22"/>
                <w:szCs w:val="22"/>
              </w:rPr>
              <w:t>Salary</w:t>
            </w:r>
            <w:r w:rsidRPr="00D97EE0">
              <w:rPr>
                <w:rFonts w:ascii="Calibri" w:hAnsi="Calibri" w:cs="Calibri"/>
                <w:color w:val="000000"/>
                <w:sz w:val="22"/>
                <w:szCs w:val="22"/>
                <w:vertAlign w:val="superscript"/>
              </w:rPr>
              <w:t>1</w:t>
            </w:r>
          </w:p>
        </w:tc>
        <w:tc>
          <w:tcPr>
            <w:tcW w:w="1535" w:type="dxa"/>
            <w:tcBorders>
              <w:top w:val="nil"/>
              <w:left w:val="nil"/>
              <w:bottom w:val="single" w:sz="4" w:space="0" w:color="auto"/>
              <w:right w:val="single" w:sz="4" w:space="0" w:color="auto"/>
            </w:tcBorders>
            <w:noWrap/>
            <w:vAlign w:val="bottom"/>
          </w:tcPr>
          <w:p w:rsidR="007C37D2" w:rsidRDefault="007C37D2" w:rsidP="007C37D2">
            <w:pPr>
              <w:rPr>
                <w:rFonts w:ascii="Calibri" w:hAnsi="Calibri" w:cs="Calibri"/>
                <w:color w:val="000000"/>
              </w:rPr>
            </w:pPr>
            <w:r>
              <w:rPr>
                <w:rFonts w:ascii="Calibri" w:hAnsi="Calibri" w:cs="Calibri"/>
                <w:color w:val="000000"/>
                <w:sz w:val="22"/>
                <w:szCs w:val="22"/>
              </w:rPr>
              <w:t xml:space="preserve"> $</w:t>
            </w:r>
            <w:r w:rsidR="0088408B">
              <w:rPr>
                <w:rFonts w:ascii="Calibri" w:hAnsi="Calibri" w:cs="Calibri"/>
                <w:color w:val="000000"/>
                <w:sz w:val="22"/>
                <w:szCs w:val="22"/>
              </w:rPr>
              <w:t xml:space="preserve">     </w:t>
            </w:r>
            <w:r>
              <w:rPr>
                <w:rFonts w:ascii="Calibri" w:hAnsi="Calibri" w:cs="Calibri"/>
                <w:color w:val="000000"/>
                <w:sz w:val="22"/>
                <w:szCs w:val="22"/>
              </w:rPr>
              <w:t xml:space="preserve">22,435 </w:t>
            </w:r>
          </w:p>
        </w:tc>
        <w:tc>
          <w:tcPr>
            <w:tcW w:w="1800" w:type="dxa"/>
            <w:tcBorders>
              <w:top w:val="nil"/>
              <w:left w:val="nil"/>
              <w:bottom w:val="single" w:sz="4" w:space="0" w:color="auto"/>
              <w:right w:val="single" w:sz="4" w:space="0" w:color="auto"/>
            </w:tcBorders>
            <w:noWrap/>
            <w:vAlign w:val="bottom"/>
          </w:tcPr>
          <w:p w:rsidR="007C37D2" w:rsidRDefault="007C37D2" w:rsidP="00AA7037">
            <w:pPr>
              <w:rPr>
                <w:rFonts w:ascii="Calibri" w:hAnsi="Calibri" w:cs="Calibri"/>
                <w:color w:val="000000"/>
              </w:rPr>
            </w:pPr>
            <w:r>
              <w:rPr>
                <w:rFonts w:ascii="Calibri" w:hAnsi="Calibri" w:cs="Calibri"/>
                <w:color w:val="000000"/>
                <w:sz w:val="22"/>
                <w:szCs w:val="22"/>
              </w:rPr>
              <w:t xml:space="preserve"> $</w:t>
            </w:r>
            <w:r w:rsidR="0088408B">
              <w:rPr>
                <w:rFonts w:ascii="Calibri" w:hAnsi="Calibri" w:cs="Calibri"/>
                <w:color w:val="000000"/>
                <w:sz w:val="22"/>
                <w:szCs w:val="22"/>
              </w:rPr>
              <w:t xml:space="preserve">     </w:t>
            </w:r>
            <w:r w:rsidR="00AA7037">
              <w:rPr>
                <w:rFonts w:ascii="Calibri" w:hAnsi="Calibri" w:cs="Calibri"/>
                <w:color w:val="000000"/>
                <w:sz w:val="22"/>
                <w:szCs w:val="22"/>
              </w:rPr>
              <w:t>20</w:t>
            </w:r>
            <w:r>
              <w:rPr>
                <w:rFonts w:ascii="Calibri" w:hAnsi="Calibri" w:cs="Calibri"/>
                <w:color w:val="000000"/>
                <w:sz w:val="22"/>
                <w:szCs w:val="22"/>
              </w:rPr>
              <w:t>,</w:t>
            </w:r>
            <w:r w:rsidR="00AA7037">
              <w:rPr>
                <w:rFonts w:ascii="Calibri" w:hAnsi="Calibri" w:cs="Calibri"/>
                <w:color w:val="000000"/>
                <w:sz w:val="22"/>
                <w:szCs w:val="22"/>
              </w:rPr>
              <w:t>435</w:t>
            </w:r>
            <w:r>
              <w:rPr>
                <w:rFonts w:ascii="Calibri" w:hAnsi="Calibri" w:cs="Calibri"/>
                <w:color w:val="000000"/>
                <w:sz w:val="22"/>
                <w:szCs w:val="22"/>
              </w:rPr>
              <w:t xml:space="preserve"> </w:t>
            </w:r>
          </w:p>
        </w:tc>
        <w:tc>
          <w:tcPr>
            <w:tcW w:w="2075" w:type="dxa"/>
            <w:gridSpan w:val="3"/>
            <w:tcBorders>
              <w:top w:val="nil"/>
              <w:left w:val="nil"/>
              <w:bottom w:val="single" w:sz="4" w:space="0" w:color="auto"/>
              <w:right w:val="single" w:sz="8" w:space="0" w:color="auto"/>
            </w:tcBorders>
            <w:noWrap/>
            <w:vAlign w:val="bottom"/>
          </w:tcPr>
          <w:p w:rsidR="007C37D2" w:rsidRDefault="007C37D2" w:rsidP="007C37D2">
            <w:pPr>
              <w:rPr>
                <w:rFonts w:ascii="Calibri" w:hAnsi="Calibri" w:cs="Calibri"/>
                <w:color w:val="000000"/>
              </w:rPr>
            </w:pPr>
            <w:r>
              <w:rPr>
                <w:rFonts w:ascii="Calibri" w:hAnsi="Calibri" w:cs="Calibri"/>
                <w:color w:val="000000"/>
                <w:sz w:val="22"/>
                <w:szCs w:val="22"/>
              </w:rPr>
              <w:t xml:space="preserve"> $</w:t>
            </w:r>
            <w:r w:rsidR="0088408B">
              <w:rPr>
                <w:rFonts w:ascii="Calibri" w:hAnsi="Calibri" w:cs="Calibri"/>
                <w:color w:val="000000"/>
                <w:sz w:val="22"/>
                <w:szCs w:val="22"/>
              </w:rPr>
              <w:t xml:space="preserve">    </w:t>
            </w:r>
            <w:r>
              <w:rPr>
                <w:rFonts w:ascii="Calibri" w:hAnsi="Calibri" w:cs="Calibri"/>
                <w:color w:val="000000"/>
                <w:sz w:val="22"/>
                <w:szCs w:val="22"/>
              </w:rPr>
              <w:t xml:space="preserve">103,650 </w:t>
            </w:r>
          </w:p>
        </w:tc>
      </w:tr>
      <w:tr w:rsidR="007C37D2" w:rsidTr="007C37D2">
        <w:trPr>
          <w:gridAfter w:val="2"/>
          <w:wAfter w:w="1692" w:type="dxa"/>
          <w:trHeight w:val="300"/>
        </w:trPr>
        <w:tc>
          <w:tcPr>
            <w:tcW w:w="1962" w:type="dxa"/>
            <w:tcBorders>
              <w:top w:val="nil"/>
              <w:left w:val="single" w:sz="8" w:space="0" w:color="auto"/>
              <w:bottom w:val="single" w:sz="4" w:space="0" w:color="auto"/>
              <w:right w:val="single" w:sz="4" w:space="0" w:color="auto"/>
            </w:tcBorders>
            <w:noWrap/>
            <w:vAlign w:val="bottom"/>
          </w:tcPr>
          <w:p w:rsidR="007C37D2" w:rsidRDefault="007C37D2" w:rsidP="001F44DC">
            <w:pPr>
              <w:rPr>
                <w:rFonts w:ascii="Calibri" w:hAnsi="Calibri" w:cs="Calibri"/>
                <w:color w:val="000000"/>
              </w:rPr>
            </w:pPr>
            <w:r>
              <w:rPr>
                <w:rFonts w:ascii="Calibri" w:hAnsi="Calibri" w:cs="Calibri"/>
                <w:color w:val="000000"/>
                <w:sz w:val="22"/>
                <w:szCs w:val="22"/>
              </w:rPr>
              <w:t>Travel</w:t>
            </w:r>
            <w:r w:rsidRPr="00D97EE0">
              <w:rPr>
                <w:rFonts w:ascii="Calibri" w:hAnsi="Calibri" w:cs="Calibri"/>
                <w:color w:val="000000"/>
                <w:sz w:val="22"/>
                <w:szCs w:val="22"/>
                <w:vertAlign w:val="superscript"/>
              </w:rPr>
              <w:t>3</w:t>
            </w:r>
          </w:p>
        </w:tc>
        <w:tc>
          <w:tcPr>
            <w:tcW w:w="1535" w:type="dxa"/>
            <w:tcBorders>
              <w:top w:val="nil"/>
              <w:left w:val="nil"/>
              <w:bottom w:val="single" w:sz="4" w:space="0" w:color="auto"/>
              <w:right w:val="single" w:sz="4" w:space="0" w:color="auto"/>
            </w:tcBorders>
            <w:noWrap/>
            <w:vAlign w:val="bottom"/>
          </w:tcPr>
          <w:p w:rsidR="007C37D2" w:rsidRDefault="007C37D2" w:rsidP="001F44DC">
            <w:pPr>
              <w:rPr>
                <w:rFonts w:ascii="Calibri" w:hAnsi="Calibri" w:cs="Calibri"/>
                <w:color w:val="000000"/>
              </w:rPr>
            </w:pPr>
            <w:r>
              <w:rPr>
                <w:rFonts w:ascii="Calibri" w:hAnsi="Calibri" w:cs="Calibri"/>
                <w:color w:val="000000"/>
                <w:sz w:val="22"/>
                <w:szCs w:val="22"/>
              </w:rPr>
              <w:t xml:space="preserve"> $</w:t>
            </w:r>
            <w:r w:rsidR="0088408B">
              <w:rPr>
                <w:rFonts w:ascii="Calibri" w:hAnsi="Calibri" w:cs="Calibri"/>
                <w:color w:val="000000"/>
                <w:sz w:val="22"/>
                <w:szCs w:val="22"/>
              </w:rPr>
              <w:t xml:space="preserve">      </w:t>
            </w:r>
            <w:r>
              <w:rPr>
                <w:rFonts w:ascii="Calibri" w:hAnsi="Calibri" w:cs="Calibri"/>
                <w:color w:val="000000"/>
                <w:sz w:val="22"/>
                <w:szCs w:val="22"/>
              </w:rPr>
              <w:t xml:space="preserve"> 5,000 </w:t>
            </w:r>
          </w:p>
        </w:tc>
        <w:tc>
          <w:tcPr>
            <w:tcW w:w="1800" w:type="dxa"/>
            <w:tcBorders>
              <w:top w:val="nil"/>
              <w:left w:val="nil"/>
              <w:bottom w:val="single" w:sz="4" w:space="0" w:color="auto"/>
              <w:right w:val="single" w:sz="4" w:space="0" w:color="auto"/>
            </w:tcBorders>
            <w:noWrap/>
            <w:vAlign w:val="bottom"/>
          </w:tcPr>
          <w:p w:rsidR="007C37D2" w:rsidRDefault="007C37D2" w:rsidP="001F44DC">
            <w:pPr>
              <w:rPr>
                <w:rFonts w:ascii="Calibri" w:hAnsi="Calibri" w:cs="Calibri"/>
                <w:color w:val="000000"/>
              </w:rPr>
            </w:pPr>
            <w:r>
              <w:rPr>
                <w:rFonts w:ascii="Calibri" w:hAnsi="Calibri" w:cs="Calibri"/>
                <w:color w:val="000000"/>
                <w:sz w:val="22"/>
                <w:szCs w:val="22"/>
              </w:rPr>
              <w:t> </w:t>
            </w:r>
          </w:p>
        </w:tc>
        <w:tc>
          <w:tcPr>
            <w:tcW w:w="2075" w:type="dxa"/>
            <w:gridSpan w:val="3"/>
            <w:tcBorders>
              <w:top w:val="nil"/>
              <w:left w:val="nil"/>
              <w:bottom w:val="single" w:sz="4" w:space="0" w:color="auto"/>
              <w:right w:val="single" w:sz="8" w:space="0" w:color="auto"/>
            </w:tcBorders>
            <w:noWrap/>
            <w:vAlign w:val="bottom"/>
          </w:tcPr>
          <w:p w:rsidR="007C37D2" w:rsidRDefault="007C37D2" w:rsidP="001F44DC">
            <w:pPr>
              <w:rPr>
                <w:rFonts w:ascii="Calibri" w:hAnsi="Calibri" w:cs="Calibri"/>
                <w:color w:val="000000"/>
              </w:rPr>
            </w:pPr>
            <w:r>
              <w:rPr>
                <w:rFonts w:ascii="Calibri" w:hAnsi="Calibri" w:cs="Calibri"/>
                <w:color w:val="000000"/>
                <w:sz w:val="22"/>
                <w:szCs w:val="22"/>
              </w:rPr>
              <w:t xml:space="preserve"> $</w:t>
            </w:r>
            <w:r w:rsidR="0088408B">
              <w:rPr>
                <w:rFonts w:ascii="Calibri" w:hAnsi="Calibri" w:cs="Calibri"/>
                <w:color w:val="000000"/>
                <w:sz w:val="22"/>
                <w:szCs w:val="22"/>
              </w:rPr>
              <w:t xml:space="preserve">      </w:t>
            </w:r>
            <w:r>
              <w:rPr>
                <w:rFonts w:ascii="Calibri" w:hAnsi="Calibri" w:cs="Calibri"/>
                <w:color w:val="000000"/>
                <w:sz w:val="22"/>
                <w:szCs w:val="22"/>
              </w:rPr>
              <w:t xml:space="preserve"> 5,000 </w:t>
            </w:r>
          </w:p>
        </w:tc>
      </w:tr>
      <w:tr w:rsidR="007C37D2" w:rsidTr="007C37D2">
        <w:trPr>
          <w:gridAfter w:val="2"/>
          <w:wAfter w:w="1692" w:type="dxa"/>
          <w:trHeight w:val="300"/>
        </w:trPr>
        <w:tc>
          <w:tcPr>
            <w:tcW w:w="1962" w:type="dxa"/>
            <w:tcBorders>
              <w:top w:val="nil"/>
              <w:left w:val="single" w:sz="8" w:space="0" w:color="auto"/>
              <w:bottom w:val="single" w:sz="4" w:space="0" w:color="auto"/>
              <w:right w:val="single" w:sz="4" w:space="0" w:color="auto"/>
            </w:tcBorders>
            <w:noWrap/>
            <w:vAlign w:val="bottom"/>
          </w:tcPr>
          <w:p w:rsidR="007C37D2" w:rsidRDefault="007C37D2" w:rsidP="001F44DC">
            <w:pPr>
              <w:rPr>
                <w:rFonts w:ascii="Calibri" w:hAnsi="Calibri" w:cs="Calibri"/>
                <w:color w:val="000000"/>
              </w:rPr>
            </w:pPr>
            <w:r>
              <w:rPr>
                <w:rFonts w:ascii="Calibri" w:hAnsi="Calibri" w:cs="Calibri"/>
                <w:color w:val="000000"/>
                <w:sz w:val="22"/>
                <w:szCs w:val="22"/>
              </w:rPr>
              <w:t>Supplies/Materials</w:t>
            </w:r>
            <w:r w:rsidRPr="00D97EE0">
              <w:rPr>
                <w:rFonts w:ascii="Calibri" w:hAnsi="Calibri" w:cs="Calibri"/>
                <w:color w:val="000000"/>
                <w:sz w:val="22"/>
                <w:szCs w:val="22"/>
                <w:vertAlign w:val="superscript"/>
              </w:rPr>
              <w:t>5</w:t>
            </w:r>
          </w:p>
        </w:tc>
        <w:tc>
          <w:tcPr>
            <w:tcW w:w="1535" w:type="dxa"/>
            <w:tcBorders>
              <w:top w:val="nil"/>
              <w:left w:val="nil"/>
              <w:bottom w:val="single" w:sz="4" w:space="0" w:color="auto"/>
              <w:right w:val="single" w:sz="4" w:space="0" w:color="auto"/>
            </w:tcBorders>
            <w:noWrap/>
            <w:vAlign w:val="bottom"/>
          </w:tcPr>
          <w:p w:rsidR="007C37D2" w:rsidRDefault="007C37D2" w:rsidP="001F44DC">
            <w:pPr>
              <w:rPr>
                <w:rFonts w:ascii="Calibri" w:hAnsi="Calibri" w:cs="Calibri"/>
                <w:color w:val="000000"/>
              </w:rPr>
            </w:pPr>
            <w:r>
              <w:rPr>
                <w:rFonts w:ascii="Calibri" w:hAnsi="Calibri" w:cs="Calibri"/>
                <w:color w:val="000000"/>
                <w:sz w:val="22"/>
                <w:szCs w:val="22"/>
              </w:rPr>
              <w:t xml:space="preserve"> $</w:t>
            </w:r>
            <w:r w:rsidR="0088408B">
              <w:rPr>
                <w:rFonts w:ascii="Calibri" w:hAnsi="Calibri" w:cs="Calibri"/>
                <w:color w:val="000000"/>
                <w:sz w:val="22"/>
                <w:szCs w:val="22"/>
              </w:rPr>
              <w:t xml:space="preserve">      </w:t>
            </w:r>
            <w:r>
              <w:rPr>
                <w:rFonts w:ascii="Calibri" w:hAnsi="Calibri" w:cs="Calibri"/>
                <w:color w:val="000000"/>
                <w:sz w:val="22"/>
                <w:szCs w:val="22"/>
              </w:rPr>
              <w:t xml:space="preserve"> 5,000 </w:t>
            </w:r>
          </w:p>
        </w:tc>
        <w:tc>
          <w:tcPr>
            <w:tcW w:w="1800" w:type="dxa"/>
            <w:tcBorders>
              <w:top w:val="nil"/>
              <w:left w:val="nil"/>
              <w:bottom w:val="single" w:sz="4" w:space="0" w:color="auto"/>
              <w:right w:val="single" w:sz="4" w:space="0" w:color="auto"/>
            </w:tcBorders>
            <w:noWrap/>
            <w:vAlign w:val="bottom"/>
          </w:tcPr>
          <w:p w:rsidR="007C37D2" w:rsidRDefault="007C37D2" w:rsidP="001F44DC">
            <w:pPr>
              <w:rPr>
                <w:rFonts w:ascii="Calibri" w:hAnsi="Calibri" w:cs="Calibri"/>
                <w:color w:val="000000"/>
              </w:rPr>
            </w:pPr>
            <w:r>
              <w:rPr>
                <w:rFonts w:ascii="Calibri" w:hAnsi="Calibri" w:cs="Calibri"/>
                <w:color w:val="000000"/>
                <w:sz w:val="22"/>
                <w:szCs w:val="22"/>
              </w:rPr>
              <w:t> </w:t>
            </w:r>
          </w:p>
        </w:tc>
        <w:tc>
          <w:tcPr>
            <w:tcW w:w="2075" w:type="dxa"/>
            <w:gridSpan w:val="3"/>
            <w:tcBorders>
              <w:top w:val="nil"/>
              <w:left w:val="nil"/>
              <w:bottom w:val="single" w:sz="4" w:space="0" w:color="auto"/>
              <w:right w:val="single" w:sz="8" w:space="0" w:color="auto"/>
            </w:tcBorders>
            <w:noWrap/>
            <w:vAlign w:val="bottom"/>
          </w:tcPr>
          <w:p w:rsidR="007C37D2" w:rsidRDefault="007C37D2" w:rsidP="001F44DC">
            <w:pPr>
              <w:rPr>
                <w:rFonts w:ascii="Calibri" w:hAnsi="Calibri" w:cs="Calibri"/>
                <w:color w:val="000000"/>
              </w:rPr>
            </w:pPr>
            <w:r>
              <w:rPr>
                <w:rFonts w:ascii="Calibri" w:hAnsi="Calibri" w:cs="Calibri"/>
                <w:color w:val="000000"/>
                <w:sz w:val="22"/>
                <w:szCs w:val="22"/>
              </w:rPr>
              <w:t xml:space="preserve"> $</w:t>
            </w:r>
            <w:r w:rsidR="0088408B">
              <w:rPr>
                <w:rFonts w:ascii="Calibri" w:hAnsi="Calibri" w:cs="Calibri"/>
                <w:color w:val="000000"/>
                <w:sz w:val="22"/>
                <w:szCs w:val="22"/>
              </w:rPr>
              <w:t xml:space="preserve">      </w:t>
            </w:r>
            <w:r>
              <w:rPr>
                <w:rFonts w:ascii="Calibri" w:hAnsi="Calibri" w:cs="Calibri"/>
                <w:color w:val="000000"/>
                <w:sz w:val="22"/>
                <w:szCs w:val="22"/>
              </w:rPr>
              <w:t xml:space="preserve"> 5,000 </w:t>
            </w:r>
          </w:p>
        </w:tc>
      </w:tr>
      <w:tr w:rsidR="007C37D2" w:rsidTr="007C37D2">
        <w:trPr>
          <w:gridAfter w:val="2"/>
          <w:wAfter w:w="1692" w:type="dxa"/>
          <w:trHeight w:val="300"/>
        </w:trPr>
        <w:tc>
          <w:tcPr>
            <w:tcW w:w="1962" w:type="dxa"/>
            <w:tcBorders>
              <w:top w:val="nil"/>
              <w:left w:val="single" w:sz="8" w:space="0" w:color="auto"/>
              <w:bottom w:val="single" w:sz="4" w:space="0" w:color="auto"/>
              <w:right w:val="single" w:sz="4" w:space="0" w:color="auto"/>
            </w:tcBorders>
            <w:noWrap/>
            <w:vAlign w:val="bottom"/>
          </w:tcPr>
          <w:p w:rsidR="007C37D2" w:rsidRDefault="007C37D2" w:rsidP="001F44DC">
            <w:pPr>
              <w:rPr>
                <w:rFonts w:ascii="Calibri" w:hAnsi="Calibri" w:cs="Calibri"/>
                <w:color w:val="000000"/>
              </w:rPr>
            </w:pPr>
            <w:r>
              <w:rPr>
                <w:rFonts w:ascii="Calibri" w:hAnsi="Calibri" w:cs="Calibri"/>
                <w:color w:val="000000"/>
                <w:sz w:val="22"/>
                <w:szCs w:val="22"/>
              </w:rPr>
              <w:t>Contractual</w:t>
            </w:r>
            <w:r w:rsidRPr="00D97EE0">
              <w:rPr>
                <w:rFonts w:ascii="Calibri" w:hAnsi="Calibri" w:cs="Calibri"/>
                <w:color w:val="000000"/>
                <w:sz w:val="22"/>
                <w:szCs w:val="22"/>
                <w:vertAlign w:val="superscript"/>
              </w:rPr>
              <w:t>6</w:t>
            </w:r>
          </w:p>
        </w:tc>
        <w:tc>
          <w:tcPr>
            <w:tcW w:w="1535" w:type="dxa"/>
            <w:tcBorders>
              <w:top w:val="nil"/>
              <w:left w:val="nil"/>
              <w:bottom w:val="single" w:sz="4" w:space="0" w:color="auto"/>
              <w:right w:val="single" w:sz="4" w:space="0" w:color="auto"/>
            </w:tcBorders>
            <w:noWrap/>
            <w:vAlign w:val="bottom"/>
          </w:tcPr>
          <w:p w:rsidR="007C37D2" w:rsidRDefault="007C37D2" w:rsidP="001F44DC">
            <w:pPr>
              <w:rPr>
                <w:rFonts w:ascii="Calibri" w:hAnsi="Calibri" w:cs="Calibri"/>
                <w:color w:val="000000"/>
              </w:rPr>
            </w:pPr>
            <w:r>
              <w:rPr>
                <w:rFonts w:ascii="Calibri" w:hAnsi="Calibri" w:cs="Calibri"/>
                <w:color w:val="000000"/>
                <w:sz w:val="22"/>
                <w:szCs w:val="22"/>
              </w:rPr>
              <w:t xml:space="preserve"> $</w:t>
            </w:r>
            <w:r w:rsidR="0088408B">
              <w:rPr>
                <w:rFonts w:ascii="Calibri" w:hAnsi="Calibri" w:cs="Calibri"/>
                <w:color w:val="000000"/>
                <w:sz w:val="22"/>
                <w:szCs w:val="22"/>
              </w:rPr>
              <w:t xml:space="preserve">     </w:t>
            </w:r>
            <w:r>
              <w:rPr>
                <w:rFonts w:ascii="Calibri" w:hAnsi="Calibri" w:cs="Calibri"/>
                <w:color w:val="000000"/>
                <w:sz w:val="22"/>
                <w:szCs w:val="22"/>
              </w:rPr>
              <w:t xml:space="preserve">48,780 </w:t>
            </w:r>
          </w:p>
        </w:tc>
        <w:tc>
          <w:tcPr>
            <w:tcW w:w="1800" w:type="dxa"/>
            <w:tcBorders>
              <w:top w:val="nil"/>
              <w:left w:val="nil"/>
              <w:bottom w:val="single" w:sz="4" w:space="0" w:color="auto"/>
              <w:right w:val="single" w:sz="4" w:space="0" w:color="auto"/>
            </w:tcBorders>
            <w:noWrap/>
            <w:vAlign w:val="bottom"/>
          </w:tcPr>
          <w:p w:rsidR="007C37D2" w:rsidRDefault="007C37D2" w:rsidP="001F44DC">
            <w:pPr>
              <w:rPr>
                <w:rFonts w:ascii="Calibri" w:hAnsi="Calibri" w:cs="Calibri"/>
                <w:color w:val="000000"/>
              </w:rPr>
            </w:pPr>
            <w:r>
              <w:rPr>
                <w:rFonts w:ascii="Calibri" w:hAnsi="Calibri" w:cs="Calibri"/>
                <w:color w:val="000000"/>
                <w:sz w:val="22"/>
                <w:szCs w:val="22"/>
              </w:rPr>
              <w:t> </w:t>
            </w:r>
            <w:r w:rsidR="00AA7037">
              <w:rPr>
                <w:rFonts w:ascii="Calibri" w:hAnsi="Calibri" w:cs="Calibri"/>
                <w:color w:val="000000"/>
                <w:sz w:val="22"/>
                <w:szCs w:val="22"/>
              </w:rPr>
              <w:t>$      60,780</w:t>
            </w:r>
          </w:p>
        </w:tc>
        <w:tc>
          <w:tcPr>
            <w:tcW w:w="2075" w:type="dxa"/>
            <w:gridSpan w:val="3"/>
            <w:tcBorders>
              <w:top w:val="nil"/>
              <w:left w:val="nil"/>
              <w:bottom w:val="single" w:sz="4" w:space="0" w:color="auto"/>
              <w:right w:val="single" w:sz="8" w:space="0" w:color="auto"/>
            </w:tcBorders>
            <w:noWrap/>
            <w:vAlign w:val="bottom"/>
          </w:tcPr>
          <w:p w:rsidR="007C37D2" w:rsidRDefault="007C37D2" w:rsidP="001F44DC">
            <w:pPr>
              <w:rPr>
                <w:rFonts w:ascii="Calibri" w:hAnsi="Calibri" w:cs="Calibri"/>
                <w:color w:val="000000"/>
              </w:rPr>
            </w:pPr>
            <w:r>
              <w:rPr>
                <w:rFonts w:ascii="Calibri" w:hAnsi="Calibri" w:cs="Calibri"/>
                <w:color w:val="000000"/>
                <w:sz w:val="22"/>
                <w:szCs w:val="22"/>
              </w:rPr>
              <w:t xml:space="preserve"> $</w:t>
            </w:r>
            <w:r w:rsidR="0088408B">
              <w:rPr>
                <w:rFonts w:ascii="Calibri" w:hAnsi="Calibri" w:cs="Calibri"/>
                <w:color w:val="000000"/>
                <w:sz w:val="22"/>
                <w:szCs w:val="22"/>
              </w:rPr>
              <w:t xml:space="preserve">     </w:t>
            </w:r>
            <w:r>
              <w:rPr>
                <w:rFonts w:ascii="Calibri" w:hAnsi="Calibri" w:cs="Calibri"/>
                <w:color w:val="000000"/>
                <w:sz w:val="22"/>
                <w:szCs w:val="22"/>
              </w:rPr>
              <w:t xml:space="preserve">48,780 </w:t>
            </w:r>
          </w:p>
        </w:tc>
      </w:tr>
      <w:tr w:rsidR="007C37D2" w:rsidTr="007C37D2">
        <w:trPr>
          <w:gridAfter w:val="2"/>
          <w:wAfter w:w="1692" w:type="dxa"/>
          <w:trHeight w:val="300"/>
        </w:trPr>
        <w:tc>
          <w:tcPr>
            <w:tcW w:w="1962" w:type="dxa"/>
            <w:tcBorders>
              <w:top w:val="nil"/>
              <w:left w:val="single" w:sz="8" w:space="0" w:color="auto"/>
              <w:bottom w:val="single" w:sz="4" w:space="0" w:color="auto"/>
              <w:right w:val="single" w:sz="4" w:space="0" w:color="auto"/>
            </w:tcBorders>
            <w:noWrap/>
            <w:vAlign w:val="bottom"/>
          </w:tcPr>
          <w:p w:rsidR="007C37D2" w:rsidRDefault="007C37D2" w:rsidP="001F44DC">
            <w:pPr>
              <w:rPr>
                <w:rFonts w:ascii="Calibri" w:hAnsi="Calibri" w:cs="Calibri"/>
                <w:color w:val="000000"/>
              </w:rPr>
            </w:pPr>
            <w:r>
              <w:rPr>
                <w:rFonts w:ascii="Calibri" w:hAnsi="Calibri" w:cs="Calibri"/>
                <w:color w:val="000000"/>
                <w:sz w:val="22"/>
                <w:szCs w:val="22"/>
              </w:rPr>
              <w:t>Indirect (23.13%)</w:t>
            </w:r>
            <w:r w:rsidRPr="00D97EE0">
              <w:rPr>
                <w:rFonts w:ascii="Calibri" w:hAnsi="Calibri" w:cs="Calibri"/>
                <w:color w:val="000000"/>
                <w:sz w:val="22"/>
                <w:szCs w:val="22"/>
                <w:vertAlign w:val="superscript"/>
              </w:rPr>
              <w:t>4</w:t>
            </w:r>
          </w:p>
        </w:tc>
        <w:tc>
          <w:tcPr>
            <w:tcW w:w="1535" w:type="dxa"/>
            <w:tcBorders>
              <w:top w:val="nil"/>
              <w:left w:val="nil"/>
              <w:bottom w:val="single" w:sz="4" w:space="0" w:color="auto"/>
              <w:right w:val="single" w:sz="4" w:space="0" w:color="auto"/>
            </w:tcBorders>
            <w:noWrap/>
            <w:vAlign w:val="bottom"/>
          </w:tcPr>
          <w:p w:rsidR="007C37D2" w:rsidRDefault="007C37D2" w:rsidP="001F44DC">
            <w:pPr>
              <w:rPr>
                <w:rFonts w:ascii="Calibri" w:hAnsi="Calibri" w:cs="Calibri"/>
                <w:color w:val="000000"/>
              </w:rPr>
            </w:pPr>
            <w:r>
              <w:rPr>
                <w:rFonts w:ascii="Calibri" w:hAnsi="Calibri" w:cs="Calibri"/>
                <w:color w:val="000000"/>
                <w:sz w:val="22"/>
                <w:szCs w:val="22"/>
              </w:rPr>
              <w:t xml:space="preserve"> $</w:t>
            </w:r>
            <w:r w:rsidR="0088408B">
              <w:rPr>
                <w:rFonts w:ascii="Calibri" w:hAnsi="Calibri" w:cs="Calibri"/>
                <w:color w:val="000000"/>
                <w:sz w:val="22"/>
                <w:szCs w:val="22"/>
              </w:rPr>
              <w:t xml:space="preserve">     </w:t>
            </w:r>
            <w:r>
              <w:rPr>
                <w:rFonts w:ascii="Calibri" w:hAnsi="Calibri" w:cs="Calibri"/>
                <w:color w:val="000000"/>
                <w:sz w:val="22"/>
                <w:szCs w:val="22"/>
              </w:rPr>
              <w:t xml:space="preserve">18,785 </w:t>
            </w:r>
          </w:p>
        </w:tc>
        <w:tc>
          <w:tcPr>
            <w:tcW w:w="1800" w:type="dxa"/>
            <w:tcBorders>
              <w:top w:val="nil"/>
              <w:left w:val="nil"/>
              <w:bottom w:val="single" w:sz="4" w:space="0" w:color="auto"/>
              <w:right w:val="single" w:sz="4" w:space="0" w:color="auto"/>
            </w:tcBorders>
            <w:noWrap/>
            <w:vAlign w:val="bottom"/>
          </w:tcPr>
          <w:p w:rsidR="007C37D2" w:rsidRDefault="007C37D2" w:rsidP="007C37D2">
            <w:pPr>
              <w:rPr>
                <w:rFonts w:ascii="Calibri" w:hAnsi="Calibri" w:cs="Calibri"/>
                <w:color w:val="000000"/>
              </w:rPr>
            </w:pPr>
            <w:r>
              <w:rPr>
                <w:rFonts w:ascii="Calibri" w:hAnsi="Calibri" w:cs="Calibri"/>
                <w:color w:val="000000"/>
                <w:sz w:val="22"/>
                <w:szCs w:val="22"/>
              </w:rPr>
              <w:t xml:space="preserve"> $</w:t>
            </w:r>
            <w:r w:rsidR="0088408B">
              <w:rPr>
                <w:rFonts w:ascii="Calibri" w:hAnsi="Calibri" w:cs="Calibri"/>
                <w:color w:val="000000"/>
                <w:sz w:val="22"/>
                <w:szCs w:val="22"/>
              </w:rPr>
              <w:t xml:space="preserve">     </w:t>
            </w:r>
            <w:r>
              <w:rPr>
                <w:rFonts w:ascii="Calibri" w:hAnsi="Calibri" w:cs="Calibri"/>
                <w:color w:val="000000"/>
                <w:sz w:val="22"/>
                <w:szCs w:val="22"/>
              </w:rPr>
              <w:t xml:space="preserve"> 18,785 </w:t>
            </w:r>
          </w:p>
        </w:tc>
        <w:tc>
          <w:tcPr>
            <w:tcW w:w="2075" w:type="dxa"/>
            <w:gridSpan w:val="3"/>
            <w:tcBorders>
              <w:top w:val="nil"/>
              <w:left w:val="nil"/>
              <w:bottom w:val="single" w:sz="4" w:space="0" w:color="auto"/>
              <w:right w:val="single" w:sz="8" w:space="0" w:color="auto"/>
            </w:tcBorders>
            <w:noWrap/>
            <w:vAlign w:val="bottom"/>
          </w:tcPr>
          <w:p w:rsidR="007C37D2" w:rsidRDefault="007C37D2" w:rsidP="00B66568">
            <w:pPr>
              <w:rPr>
                <w:rFonts w:ascii="Calibri" w:hAnsi="Calibri" w:cs="Calibri"/>
                <w:color w:val="000000"/>
              </w:rPr>
            </w:pPr>
            <w:r>
              <w:rPr>
                <w:rFonts w:ascii="Calibri" w:hAnsi="Calibri" w:cs="Calibri"/>
                <w:color w:val="000000"/>
                <w:sz w:val="22"/>
                <w:szCs w:val="22"/>
              </w:rPr>
              <w:t xml:space="preserve"> $</w:t>
            </w:r>
            <w:r w:rsidR="0088408B">
              <w:rPr>
                <w:rFonts w:ascii="Calibri" w:hAnsi="Calibri" w:cs="Calibri"/>
                <w:color w:val="000000"/>
                <w:sz w:val="22"/>
                <w:szCs w:val="22"/>
              </w:rPr>
              <w:t xml:space="preserve">     </w:t>
            </w:r>
            <w:r w:rsidR="00B66568">
              <w:rPr>
                <w:rFonts w:ascii="Calibri" w:hAnsi="Calibri" w:cs="Calibri"/>
                <w:color w:val="000000"/>
                <w:sz w:val="22"/>
                <w:szCs w:val="22"/>
              </w:rPr>
              <w:t>37</w:t>
            </w:r>
            <w:r>
              <w:rPr>
                <w:rFonts w:ascii="Calibri" w:hAnsi="Calibri" w:cs="Calibri"/>
                <w:color w:val="000000"/>
                <w:sz w:val="22"/>
                <w:szCs w:val="22"/>
              </w:rPr>
              <w:t>,5</w:t>
            </w:r>
            <w:r w:rsidR="00B66568">
              <w:rPr>
                <w:rFonts w:ascii="Calibri" w:hAnsi="Calibri" w:cs="Calibri"/>
                <w:color w:val="000000"/>
                <w:sz w:val="22"/>
                <w:szCs w:val="22"/>
              </w:rPr>
              <w:t>70</w:t>
            </w:r>
            <w:r>
              <w:rPr>
                <w:rFonts w:ascii="Calibri" w:hAnsi="Calibri" w:cs="Calibri"/>
                <w:color w:val="000000"/>
                <w:sz w:val="22"/>
                <w:szCs w:val="22"/>
              </w:rPr>
              <w:t xml:space="preserve"> </w:t>
            </w:r>
          </w:p>
        </w:tc>
      </w:tr>
      <w:tr w:rsidR="007C37D2" w:rsidTr="007C37D2">
        <w:trPr>
          <w:gridAfter w:val="2"/>
          <w:wAfter w:w="1692" w:type="dxa"/>
          <w:trHeight w:val="315"/>
        </w:trPr>
        <w:tc>
          <w:tcPr>
            <w:tcW w:w="1962" w:type="dxa"/>
            <w:tcBorders>
              <w:top w:val="nil"/>
              <w:left w:val="single" w:sz="8" w:space="0" w:color="auto"/>
              <w:bottom w:val="single" w:sz="8" w:space="0" w:color="auto"/>
              <w:right w:val="single" w:sz="4" w:space="0" w:color="auto"/>
            </w:tcBorders>
            <w:noWrap/>
            <w:vAlign w:val="bottom"/>
          </w:tcPr>
          <w:p w:rsidR="007C37D2" w:rsidRDefault="007C37D2" w:rsidP="001F44DC">
            <w:pPr>
              <w:rPr>
                <w:rFonts w:ascii="Calibri" w:hAnsi="Calibri" w:cs="Calibri"/>
                <w:color w:val="000000"/>
              </w:rPr>
            </w:pPr>
            <w:r>
              <w:rPr>
                <w:rFonts w:ascii="Calibri" w:hAnsi="Calibri" w:cs="Calibri"/>
                <w:color w:val="000000"/>
                <w:sz w:val="22"/>
                <w:szCs w:val="22"/>
              </w:rPr>
              <w:t>Total</w:t>
            </w:r>
          </w:p>
        </w:tc>
        <w:tc>
          <w:tcPr>
            <w:tcW w:w="1535" w:type="dxa"/>
            <w:tcBorders>
              <w:top w:val="nil"/>
              <w:left w:val="nil"/>
              <w:bottom w:val="single" w:sz="8" w:space="0" w:color="auto"/>
              <w:right w:val="single" w:sz="4" w:space="0" w:color="auto"/>
            </w:tcBorders>
            <w:noWrap/>
            <w:vAlign w:val="bottom"/>
          </w:tcPr>
          <w:p w:rsidR="007C37D2" w:rsidRDefault="007C37D2" w:rsidP="001F44DC">
            <w:pPr>
              <w:rPr>
                <w:rFonts w:ascii="Calibri" w:hAnsi="Calibri" w:cs="Calibri"/>
                <w:color w:val="000000"/>
              </w:rPr>
            </w:pPr>
            <w:r>
              <w:rPr>
                <w:rFonts w:ascii="Calibri" w:hAnsi="Calibri" w:cs="Calibri"/>
                <w:color w:val="000000"/>
                <w:sz w:val="22"/>
                <w:szCs w:val="22"/>
              </w:rPr>
              <w:t xml:space="preserve"> $</w:t>
            </w:r>
            <w:r w:rsidR="0088408B">
              <w:rPr>
                <w:rFonts w:ascii="Calibri" w:hAnsi="Calibri" w:cs="Calibri"/>
                <w:color w:val="000000"/>
                <w:sz w:val="22"/>
                <w:szCs w:val="22"/>
              </w:rPr>
              <w:t xml:space="preserve">    </w:t>
            </w:r>
            <w:r>
              <w:rPr>
                <w:rFonts w:ascii="Calibri" w:hAnsi="Calibri" w:cs="Calibri"/>
                <w:color w:val="000000"/>
                <w:sz w:val="22"/>
                <w:szCs w:val="22"/>
              </w:rPr>
              <w:t xml:space="preserve">100,000 </w:t>
            </w:r>
          </w:p>
        </w:tc>
        <w:tc>
          <w:tcPr>
            <w:tcW w:w="1800" w:type="dxa"/>
            <w:tcBorders>
              <w:top w:val="nil"/>
              <w:left w:val="nil"/>
              <w:bottom w:val="single" w:sz="8" w:space="0" w:color="auto"/>
              <w:right w:val="single" w:sz="4" w:space="0" w:color="auto"/>
            </w:tcBorders>
            <w:noWrap/>
            <w:vAlign w:val="bottom"/>
          </w:tcPr>
          <w:p w:rsidR="007C37D2" w:rsidRDefault="007C37D2" w:rsidP="007C37D2">
            <w:pPr>
              <w:rPr>
                <w:rFonts w:ascii="Calibri" w:hAnsi="Calibri" w:cs="Calibri"/>
                <w:color w:val="000000"/>
              </w:rPr>
            </w:pPr>
            <w:r>
              <w:rPr>
                <w:rFonts w:ascii="Calibri" w:hAnsi="Calibri" w:cs="Calibri"/>
                <w:color w:val="000000"/>
                <w:sz w:val="22"/>
                <w:szCs w:val="22"/>
              </w:rPr>
              <w:t xml:space="preserve"> $</w:t>
            </w:r>
            <w:r w:rsidR="0088408B">
              <w:rPr>
                <w:rFonts w:ascii="Calibri" w:hAnsi="Calibri" w:cs="Calibri"/>
                <w:color w:val="000000"/>
                <w:sz w:val="22"/>
                <w:szCs w:val="22"/>
              </w:rPr>
              <w:t xml:space="preserve">    </w:t>
            </w:r>
            <w:r>
              <w:rPr>
                <w:rFonts w:ascii="Calibri" w:hAnsi="Calibri" w:cs="Calibri"/>
                <w:color w:val="000000"/>
                <w:sz w:val="22"/>
                <w:szCs w:val="22"/>
              </w:rPr>
              <w:t xml:space="preserve"> 100,000 </w:t>
            </w:r>
          </w:p>
        </w:tc>
        <w:tc>
          <w:tcPr>
            <w:tcW w:w="2075" w:type="dxa"/>
            <w:gridSpan w:val="3"/>
            <w:tcBorders>
              <w:top w:val="nil"/>
              <w:left w:val="nil"/>
              <w:bottom w:val="single" w:sz="8" w:space="0" w:color="auto"/>
              <w:right w:val="single" w:sz="8" w:space="0" w:color="auto"/>
            </w:tcBorders>
            <w:noWrap/>
            <w:vAlign w:val="bottom"/>
          </w:tcPr>
          <w:p w:rsidR="007C37D2" w:rsidRDefault="007C37D2" w:rsidP="007C37D2">
            <w:pPr>
              <w:rPr>
                <w:rFonts w:ascii="Calibri" w:hAnsi="Calibri" w:cs="Calibri"/>
                <w:color w:val="000000"/>
              </w:rPr>
            </w:pPr>
            <w:r>
              <w:rPr>
                <w:rFonts w:ascii="Calibri" w:hAnsi="Calibri" w:cs="Calibri"/>
                <w:color w:val="000000"/>
                <w:sz w:val="22"/>
                <w:szCs w:val="22"/>
              </w:rPr>
              <w:t xml:space="preserve"> $</w:t>
            </w:r>
            <w:r w:rsidR="0088408B">
              <w:rPr>
                <w:rFonts w:ascii="Calibri" w:hAnsi="Calibri" w:cs="Calibri"/>
                <w:color w:val="000000"/>
                <w:sz w:val="22"/>
                <w:szCs w:val="22"/>
              </w:rPr>
              <w:t xml:space="preserve">    </w:t>
            </w:r>
            <w:r>
              <w:rPr>
                <w:rFonts w:ascii="Calibri" w:hAnsi="Calibri" w:cs="Calibri"/>
                <w:color w:val="000000"/>
                <w:sz w:val="22"/>
                <w:szCs w:val="22"/>
              </w:rPr>
              <w:t xml:space="preserve">200,000 </w:t>
            </w:r>
          </w:p>
        </w:tc>
      </w:tr>
      <w:tr w:rsidR="00C71638" w:rsidRPr="00CA29F5" w:rsidTr="007C3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tblPrEx>
        <w:trPr>
          <w:trHeight w:val="315"/>
        </w:trPr>
        <w:tc>
          <w:tcPr>
            <w:tcW w:w="5662" w:type="dxa"/>
            <w:gridSpan w:val="4"/>
            <w:noWrap/>
          </w:tcPr>
          <w:p w:rsidR="00C71638" w:rsidRPr="00CA29F5" w:rsidRDefault="00C71638" w:rsidP="001F44DC">
            <w:pPr>
              <w:rPr>
                <w:b/>
                <w:bCs/>
              </w:rPr>
            </w:pPr>
            <w:r w:rsidRPr="00CA29F5">
              <w:rPr>
                <w:b/>
                <w:bCs/>
                <w:sz w:val="22"/>
                <w:szCs w:val="22"/>
              </w:rPr>
              <w:t>Estimate of Project Costs:</w:t>
            </w:r>
          </w:p>
        </w:tc>
        <w:tc>
          <w:tcPr>
            <w:tcW w:w="265" w:type="dxa"/>
            <w:noWrap/>
          </w:tcPr>
          <w:p w:rsidR="00C71638" w:rsidRPr="00CA29F5" w:rsidRDefault="00C71638" w:rsidP="001F44DC"/>
        </w:tc>
        <w:tc>
          <w:tcPr>
            <w:tcW w:w="1586" w:type="dxa"/>
            <w:gridSpan w:val="2"/>
            <w:noWrap/>
          </w:tcPr>
          <w:p w:rsidR="00C71638" w:rsidRPr="00CA29F5" w:rsidRDefault="00C71638" w:rsidP="001F44DC"/>
        </w:tc>
        <w:tc>
          <w:tcPr>
            <w:tcW w:w="1551" w:type="dxa"/>
            <w:noWrap/>
          </w:tcPr>
          <w:p w:rsidR="00C71638" w:rsidRPr="00CA29F5" w:rsidRDefault="00C71638" w:rsidP="001F44DC"/>
        </w:tc>
      </w:tr>
      <w:tr w:rsidR="00C71638" w:rsidRPr="00CA29F5" w:rsidTr="007C3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tblPrEx>
        <w:trPr>
          <w:trHeight w:val="1358"/>
        </w:trPr>
        <w:tc>
          <w:tcPr>
            <w:tcW w:w="9064" w:type="dxa"/>
            <w:gridSpan w:val="8"/>
          </w:tcPr>
          <w:p w:rsidR="00C71638" w:rsidRPr="00CA29F5" w:rsidRDefault="00C71638" w:rsidP="007C37D2">
            <w:r w:rsidRPr="00CA29F5">
              <w:rPr>
                <w:sz w:val="22"/>
                <w:szCs w:val="22"/>
                <w:vertAlign w:val="superscript"/>
              </w:rPr>
              <w:t>1</w:t>
            </w:r>
            <w:r w:rsidRPr="00CA29F5">
              <w:rPr>
                <w:sz w:val="22"/>
                <w:szCs w:val="22"/>
              </w:rPr>
              <w:t>TNC staff time estimate of $</w:t>
            </w:r>
            <w:r>
              <w:rPr>
                <w:sz w:val="22"/>
                <w:szCs w:val="22"/>
              </w:rPr>
              <w:t>42</w:t>
            </w:r>
            <w:r w:rsidRPr="00CA29F5">
              <w:rPr>
                <w:sz w:val="22"/>
                <w:szCs w:val="22"/>
              </w:rPr>
              <w:t>,</w:t>
            </w:r>
            <w:r>
              <w:rPr>
                <w:sz w:val="22"/>
                <w:szCs w:val="22"/>
              </w:rPr>
              <w:t>870</w:t>
            </w:r>
            <w:r w:rsidRPr="00CA29F5">
              <w:rPr>
                <w:sz w:val="22"/>
                <w:szCs w:val="22"/>
              </w:rPr>
              <w:t xml:space="preserve"> represents approximately </w:t>
            </w:r>
            <w:r>
              <w:rPr>
                <w:sz w:val="22"/>
                <w:szCs w:val="22"/>
              </w:rPr>
              <w:t>2</w:t>
            </w:r>
            <w:r w:rsidRPr="00CA29F5">
              <w:rPr>
                <w:sz w:val="22"/>
                <w:szCs w:val="22"/>
              </w:rPr>
              <w:t>00 days</w:t>
            </w:r>
            <w:r w:rsidR="007C37D2">
              <w:rPr>
                <w:sz w:val="22"/>
                <w:szCs w:val="22"/>
              </w:rPr>
              <w:t>, a</w:t>
            </w:r>
            <w:r w:rsidRPr="00CA29F5">
              <w:rPr>
                <w:sz w:val="22"/>
                <w:szCs w:val="22"/>
              </w:rPr>
              <w:t xml:space="preserve"> portion of this will serve as match and a portion </w:t>
            </w:r>
            <w:r w:rsidR="007C37D2">
              <w:rPr>
                <w:sz w:val="22"/>
                <w:szCs w:val="22"/>
              </w:rPr>
              <w:t xml:space="preserve">($22,435) </w:t>
            </w:r>
            <w:r w:rsidRPr="00CA29F5">
              <w:rPr>
                <w:sz w:val="22"/>
                <w:szCs w:val="22"/>
              </w:rPr>
              <w:t>will be grant-funded.</w:t>
            </w:r>
            <w:r w:rsidR="0088408B">
              <w:rPr>
                <w:sz w:val="22"/>
                <w:szCs w:val="22"/>
              </w:rPr>
              <w:t xml:space="preserve"> </w:t>
            </w:r>
            <w:r w:rsidRPr="00CA29F5">
              <w:rPr>
                <w:sz w:val="22"/>
                <w:szCs w:val="22"/>
              </w:rPr>
              <w:t>The source of funds paying for the match costs is non-federal (private fundraising); and the match costs will not serve as match on any other federal grant.</w:t>
            </w:r>
            <w:r w:rsidR="0088408B">
              <w:rPr>
                <w:sz w:val="22"/>
                <w:szCs w:val="22"/>
              </w:rPr>
              <w:t xml:space="preserve"> </w:t>
            </w:r>
            <w:r w:rsidRPr="00CA29F5">
              <w:rPr>
                <w:sz w:val="22"/>
                <w:szCs w:val="22"/>
              </w:rPr>
              <w:t xml:space="preserve">Personnel providing grant/match hours on this project include the Director of Conservation Science, </w:t>
            </w:r>
            <w:r>
              <w:rPr>
                <w:sz w:val="22"/>
                <w:szCs w:val="22"/>
              </w:rPr>
              <w:t xml:space="preserve">Marine </w:t>
            </w:r>
            <w:r w:rsidR="007C37D2">
              <w:rPr>
                <w:sz w:val="22"/>
                <w:szCs w:val="22"/>
              </w:rPr>
              <w:t>Scientist</w:t>
            </w:r>
            <w:r w:rsidRPr="00CA29F5">
              <w:rPr>
                <w:sz w:val="22"/>
                <w:szCs w:val="22"/>
              </w:rPr>
              <w:t>, and other TNC staff.</w:t>
            </w:r>
          </w:p>
        </w:tc>
      </w:tr>
      <w:tr w:rsidR="00C71638" w:rsidRPr="00CA29F5" w:rsidTr="007C3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tblPrEx>
        <w:trPr>
          <w:trHeight w:val="800"/>
        </w:trPr>
        <w:tc>
          <w:tcPr>
            <w:tcW w:w="9064" w:type="dxa"/>
            <w:gridSpan w:val="8"/>
          </w:tcPr>
          <w:p w:rsidR="00C71638" w:rsidRPr="00CA29F5" w:rsidRDefault="00C71638" w:rsidP="001F44DC">
            <w:r w:rsidRPr="00CA29F5">
              <w:rPr>
                <w:sz w:val="22"/>
                <w:szCs w:val="22"/>
                <w:vertAlign w:val="superscript"/>
              </w:rPr>
              <w:lastRenderedPageBreak/>
              <w:t>2</w:t>
            </w:r>
            <w:r w:rsidRPr="00CA29F5">
              <w:rPr>
                <w:sz w:val="22"/>
                <w:szCs w:val="22"/>
              </w:rPr>
              <w:t xml:space="preserve">Fringe benefits for regular </w:t>
            </w:r>
            <w:r w:rsidR="007C37D2">
              <w:rPr>
                <w:sz w:val="22"/>
                <w:szCs w:val="22"/>
              </w:rPr>
              <w:t xml:space="preserve">TNC </w:t>
            </w:r>
            <w:r w:rsidRPr="00CA29F5">
              <w:rPr>
                <w:sz w:val="22"/>
                <w:szCs w:val="22"/>
              </w:rPr>
              <w:t>staff at 4</w:t>
            </w:r>
            <w:r>
              <w:rPr>
                <w:sz w:val="22"/>
                <w:szCs w:val="22"/>
              </w:rPr>
              <w:t>2</w:t>
            </w:r>
            <w:r w:rsidRPr="00CA29F5">
              <w:rPr>
                <w:sz w:val="22"/>
                <w:szCs w:val="22"/>
              </w:rPr>
              <w:t xml:space="preserve">% in accordance with our </w:t>
            </w:r>
            <w:r>
              <w:rPr>
                <w:sz w:val="22"/>
                <w:szCs w:val="22"/>
              </w:rPr>
              <w:t xml:space="preserve">July 1, 2010 </w:t>
            </w:r>
            <w:r w:rsidRPr="00CA29F5">
              <w:rPr>
                <w:sz w:val="22"/>
                <w:szCs w:val="22"/>
              </w:rPr>
              <w:t>NICRA with the U.S. Department of the Interior (copy available upon request). Fringe benefits typically include paid time off, insurance, FICA, worker's comp, state unemployment taxes, 401(k), etc.</w:t>
            </w:r>
          </w:p>
        </w:tc>
      </w:tr>
      <w:tr w:rsidR="00C71638" w:rsidRPr="00CA29F5" w:rsidTr="007C3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tblPrEx>
        <w:trPr>
          <w:trHeight w:val="890"/>
        </w:trPr>
        <w:tc>
          <w:tcPr>
            <w:tcW w:w="9064" w:type="dxa"/>
            <w:gridSpan w:val="8"/>
          </w:tcPr>
          <w:p w:rsidR="00C71638" w:rsidRPr="00CA29F5" w:rsidRDefault="00C71638" w:rsidP="00AA7037">
            <w:r w:rsidRPr="00CA29F5">
              <w:rPr>
                <w:sz w:val="22"/>
                <w:szCs w:val="22"/>
                <w:vertAlign w:val="superscript"/>
              </w:rPr>
              <w:t>3</w:t>
            </w:r>
            <w:r>
              <w:rPr>
                <w:sz w:val="22"/>
                <w:szCs w:val="22"/>
              </w:rPr>
              <w:t>Travel cost</w:t>
            </w:r>
            <w:r w:rsidR="007C37D2">
              <w:rPr>
                <w:sz w:val="22"/>
                <w:szCs w:val="22"/>
              </w:rPr>
              <w:t xml:space="preserve">s </w:t>
            </w:r>
            <w:r>
              <w:rPr>
                <w:sz w:val="22"/>
                <w:szCs w:val="22"/>
              </w:rPr>
              <w:t>are for TNC staff to attend both workshops.</w:t>
            </w:r>
            <w:r w:rsidR="0088408B">
              <w:rPr>
                <w:sz w:val="22"/>
                <w:szCs w:val="22"/>
              </w:rPr>
              <w:t xml:space="preserve"> </w:t>
            </w:r>
            <w:r>
              <w:rPr>
                <w:sz w:val="22"/>
                <w:szCs w:val="22"/>
              </w:rPr>
              <w:t>We assume two one-day workshops. One workshop will be within driving distance; the other workshop will require air travel and overnight lodging.</w:t>
            </w:r>
            <w:r w:rsidR="007C37D2">
              <w:rPr>
                <w:sz w:val="22"/>
                <w:szCs w:val="22"/>
              </w:rPr>
              <w:t xml:space="preserve"> (travel cost for contractors are in the contract costs)</w:t>
            </w:r>
          </w:p>
        </w:tc>
      </w:tr>
      <w:tr w:rsidR="00C71638" w:rsidRPr="00CA29F5" w:rsidTr="008152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tblPrEx>
        <w:trPr>
          <w:trHeight w:val="620"/>
        </w:trPr>
        <w:tc>
          <w:tcPr>
            <w:tcW w:w="9064" w:type="dxa"/>
            <w:gridSpan w:val="8"/>
          </w:tcPr>
          <w:p w:rsidR="00C71638" w:rsidRPr="00CA29F5" w:rsidRDefault="00C71638" w:rsidP="001F44DC">
            <w:r w:rsidRPr="00CA29F5">
              <w:rPr>
                <w:sz w:val="22"/>
                <w:szCs w:val="22"/>
                <w:vertAlign w:val="superscript"/>
              </w:rPr>
              <w:t>4</w:t>
            </w:r>
            <w:r w:rsidRPr="00CA29F5">
              <w:rPr>
                <w:sz w:val="22"/>
                <w:szCs w:val="22"/>
              </w:rPr>
              <w:t xml:space="preserve">Indirects costs in accordance with our </w:t>
            </w:r>
            <w:r>
              <w:rPr>
                <w:sz w:val="22"/>
                <w:szCs w:val="22"/>
              </w:rPr>
              <w:t>July 1</w:t>
            </w:r>
            <w:r w:rsidRPr="00CA29F5">
              <w:rPr>
                <w:sz w:val="22"/>
                <w:szCs w:val="22"/>
              </w:rPr>
              <w:t>, 20</w:t>
            </w:r>
            <w:r>
              <w:rPr>
                <w:sz w:val="22"/>
                <w:szCs w:val="22"/>
              </w:rPr>
              <w:t>10</w:t>
            </w:r>
            <w:r w:rsidRPr="00CA29F5">
              <w:rPr>
                <w:sz w:val="22"/>
                <w:szCs w:val="22"/>
              </w:rPr>
              <w:t xml:space="preserve"> NICRA with the U.S. Department of the Interior (copy available upon request).</w:t>
            </w:r>
            <w:r w:rsidR="0088408B">
              <w:rPr>
                <w:sz w:val="22"/>
                <w:szCs w:val="22"/>
              </w:rPr>
              <w:t xml:space="preserve"> </w:t>
            </w:r>
          </w:p>
        </w:tc>
      </w:tr>
      <w:tr w:rsidR="00C71638" w:rsidRPr="00CA29F5" w:rsidTr="007C3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tblPrEx>
        <w:trPr>
          <w:trHeight w:val="915"/>
        </w:trPr>
        <w:tc>
          <w:tcPr>
            <w:tcW w:w="9064" w:type="dxa"/>
            <w:gridSpan w:val="8"/>
          </w:tcPr>
          <w:p w:rsidR="00C71638" w:rsidRPr="00CA29F5" w:rsidRDefault="00C71638" w:rsidP="00AA7037">
            <w:pPr>
              <w:rPr>
                <w:vertAlign w:val="superscript"/>
              </w:rPr>
            </w:pPr>
            <w:r>
              <w:rPr>
                <w:sz w:val="22"/>
                <w:szCs w:val="22"/>
                <w:vertAlign w:val="superscript"/>
              </w:rPr>
              <w:t>5</w:t>
            </w:r>
            <w:r>
              <w:rPr>
                <w:sz w:val="22"/>
                <w:szCs w:val="22"/>
              </w:rPr>
              <w:t xml:space="preserve">Supplies and Materials include the </w:t>
            </w:r>
            <w:r w:rsidR="00AA7037">
              <w:rPr>
                <w:sz w:val="22"/>
                <w:szCs w:val="22"/>
              </w:rPr>
              <w:t>meeting costs</w:t>
            </w:r>
            <w:r>
              <w:rPr>
                <w:sz w:val="22"/>
                <w:szCs w:val="22"/>
              </w:rPr>
              <w:t xml:space="preserve"> for two one-day workshops, alternative video conferencing for some participants, costs associated with hosting Web Ex meeting and final production costs</w:t>
            </w:r>
            <w:r w:rsidRPr="00CA29F5">
              <w:rPr>
                <w:sz w:val="22"/>
                <w:szCs w:val="22"/>
              </w:rPr>
              <w:t xml:space="preserve"> </w:t>
            </w:r>
            <w:r>
              <w:rPr>
                <w:sz w:val="22"/>
                <w:szCs w:val="22"/>
              </w:rPr>
              <w:t xml:space="preserve">such as </w:t>
            </w:r>
            <w:r w:rsidRPr="00CA29F5">
              <w:rPr>
                <w:sz w:val="22"/>
                <w:szCs w:val="22"/>
              </w:rPr>
              <w:t xml:space="preserve">printing, supplies/materials, phone costs associated with network conference calls, </w:t>
            </w:r>
            <w:r>
              <w:rPr>
                <w:sz w:val="22"/>
                <w:szCs w:val="22"/>
              </w:rPr>
              <w:t xml:space="preserve">costs associated with </w:t>
            </w:r>
            <w:r w:rsidRPr="00CA29F5">
              <w:rPr>
                <w:sz w:val="22"/>
                <w:szCs w:val="22"/>
              </w:rPr>
              <w:t>final report production, etc.</w:t>
            </w:r>
          </w:p>
        </w:tc>
      </w:tr>
      <w:tr w:rsidR="00C71638" w:rsidRPr="00CA29F5" w:rsidTr="008152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tblPrEx>
        <w:trPr>
          <w:trHeight w:val="1034"/>
        </w:trPr>
        <w:tc>
          <w:tcPr>
            <w:tcW w:w="9064" w:type="dxa"/>
            <w:gridSpan w:val="8"/>
          </w:tcPr>
          <w:p w:rsidR="00C71638" w:rsidRPr="00CA29F5" w:rsidRDefault="00C71638" w:rsidP="00AA7037">
            <w:pPr>
              <w:rPr>
                <w:vertAlign w:val="superscript"/>
              </w:rPr>
            </w:pPr>
            <w:r>
              <w:rPr>
                <w:sz w:val="22"/>
                <w:szCs w:val="22"/>
                <w:vertAlign w:val="superscript"/>
              </w:rPr>
              <w:t>6</w:t>
            </w:r>
            <w:r>
              <w:rPr>
                <w:sz w:val="22"/>
                <w:szCs w:val="22"/>
              </w:rPr>
              <w:t>Contractual costs include salaries and travel for the two non-TNC principal investigators.</w:t>
            </w:r>
            <w:r w:rsidR="0088408B">
              <w:rPr>
                <w:sz w:val="22"/>
                <w:szCs w:val="22"/>
              </w:rPr>
              <w:t xml:space="preserve"> </w:t>
            </w:r>
            <w:r>
              <w:rPr>
                <w:sz w:val="22"/>
                <w:szCs w:val="22"/>
              </w:rPr>
              <w:t>King is estimated at $2</w:t>
            </w:r>
            <w:r w:rsidR="00AA7037">
              <w:rPr>
                <w:sz w:val="22"/>
                <w:szCs w:val="22"/>
              </w:rPr>
              <w:t>7</w:t>
            </w:r>
            <w:r>
              <w:rPr>
                <w:sz w:val="22"/>
                <w:szCs w:val="22"/>
              </w:rPr>
              <w:t>,</w:t>
            </w:r>
            <w:r w:rsidR="00AA7037">
              <w:rPr>
                <w:sz w:val="22"/>
                <w:szCs w:val="22"/>
              </w:rPr>
              <w:t>530</w:t>
            </w:r>
            <w:r>
              <w:rPr>
                <w:sz w:val="22"/>
                <w:szCs w:val="22"/>
              </w:rPr>
              <w:t xml:space="preserve"> direct costs and $</w:t>
            </w:r>
            <w:r w:rsidR="007C37D2">
              <w:rPr>
                <w:sz w:val="22"/>
                <w:szCs w:val="22"/>
              </w:rPr>
              <w:t>25</w:t>
            </w:r>
            <w:r>
              <w:rPr>
                <w:sz w:val="22"/>
                <w:szCs w:val="22"/>
              </w:rPr>
              <w:t>,</w:t>
            </w:r>
            <w:r w:rsidR="007C37D2">
              <w:rPr>
                <w:sz w:val="22"/>
                <w:szCs w:val="22"/>
              </w:rPr>
              <w:t>068</w:t>
            </w:r>
            <w:r>
              <w:rPr>
                <w:sz w:val="22"/>
                <w:szCs w:val="22"/>
              </w:rPr>
              <w:t xml:space="preserve"> match. Ford is estimated at $21,250 direct cost and $</w:t>
            </w:r>
            <w:r w:rsidR="009519E3">
              <w:rPr>
                <w:sz w:val="22"/>
                <w:szCs w:val="22"/>
              </w:rPr>
              <w:t>33,741</w:t>
            </w:r>
            <w:r>
              <w:rPr>
                <w:sz w:val="22"/>
                <w:szCs w:val="22"/>
              </w:rPr>
              <w:t xml:space="preserve"> match. Travel costs are included for both PIs and one graduate student to attend the workshops. </w:t>
            </w:r>
          </w:p>
        </w:tc>
      </w:tr>
    </w:tbl>
    <w:p w:rsidR="00C71638" w:rsidRPr="00CA29F5" w:rsidRDefault="00C71638" w:rsidP="004A778B">
      <w:pPr>
        <w:adjustRightInd w:val="0"/>
        <w:spacing w:line="360" w:lineRule="auto"/>
        <w:outlineLvl w:val="0"/>
        <w:rPr>
          <w:b/>
          <w:bCs/>
          <w:sz w:val="22"/>
          <w:szCs w:val="22"/>
        </w:rPr>
      </w:pPr>
    </w:p>
    <w:p w:rsidR="0013507F" w:rsidRDefault="0013507F" w:rsidP="0013507F">
      <w:pPr>
        <w:outlineLvl w:val="0"/>
        <w:rPr>
          <w:b/>
          <w:bCs/>
          <w:sz w:val="22"/>
          <w:szCs w:val="22"/>
        </w:rPr>
      </w:pPr>
      <w:r w:rsidRPr="00CA29F5">
        <w:rPr>
          <w:b/>
          <w:bCs/>
          <w:sz w:val="22"/>
          <w:szCs w:val="22"/>
        </w:rPr>
        <w:t>References</w:t>
      </w:r>
    </w:p>
    <w:p w:rsidR="004A50D6" w:rsidRDefault="004A50D6" w:rsidP="0013507F">
      <w:pPr>
        <w:autoSpaceDE w:val="0"/>
        <w:autoSpaceDN w:val="0"/>
        <w:adjustRightInd w:val="0"/>
        <w:ind w:left="720" w:hanging="720"/>
        <w:rPr>
          <w:sz w:val="22"/>
          <w:szCs w:val="22"/>
        </w:rPr>
      </w:pPr>
    </w:p>
    <w:p w:rsidR="0013507F" w:rsidRPr="00CA29F5" w:rsidRDefault="0013507F" w:rsidP="0013507F">
      <w:pPr>
        <w:autoSpaceDE w:val="0"/>
        <w:autoSpaceDN w:val="0"/>
        <w:adjustRightInd w:val="0"/>
        <w:ind w:left="720" w:hanging="720"/>
        <w:rPr>
          <w:sz w:val="22"/>
          <w:szCs w:val="22"/>
        </w:rPr>
      </w:pPr>
      <w:proofErr w:type="gramStart"/>
      <w:r w:rsidRPr="00CA29F5">
        <w:rPr>
          <w:sz w:val="22"/>
          <w:szCs w:val="22"/>
        </w:rPr>
        <w:t xml:space="preserve">Anderson, M.G, J. Odell, M. Clark, Z. </w:t>
      </w:r>
      <w:proofErr w:type="spellStart"/>
      <w:r w:rsidRPr="00CA29F5">
        <w:rPr>
          <w:sz w:val="22"/>
          <w:szCs w:val="22"/>
        </w:rPr>
        <w:t>Ferdaña</w:t>
      </w:r>
      <w:proofErr w:type="spellEnd"/>
      <w:r w:rsidRPr="00CA29F5">
        <w:rPr>
          <w:sz w:val="22"/>
          <w:szCs w:val="22"/>
        </w:rPr>
        <w:t>, and J.K. Greene.</w:t>
      </w:r>
      <w:proofErr w:type="gramEnd"/>
      <w:r w:rsidRPr="00CA29F5">
        <w:rPr>
          <w:sz w:val="22"/>
          <w:szCs w:val="22"/>
        </w:rPr>
        <w:t xml:space="preserve"> 2010. The Northwest Atlantic Marine Ecoregional Assessment: Identifying Conservation Areas in the Northwest Atlantic Marine Region. </w:t>
      </w:r>
      <w:proofErr w:type="gramStart"/>
      <w:r w:rsidRPr="00CA29F5">
        <w:rPr>
          <w:sz w:val="22"/>
          <w:szCs w:val="22"/>
        </w:rPr>
        <w:t>Phase</w:t>
      </w:r>
      <w:proofErr w:type="gramEnd"/>
      <w:r w:rsidRPr="00CA29F5">
        <w:rPr>
          <w:sz w:val="22"/>
          <w:szCs w:val="22"/>
        </w:rPr>
        <w:t xml:space="preserve"> Two. </w:t>
      </w:r>
      <w:proofErr w:type="gramStart"/>
      <w:r w:rsidRPr="00CA29F5">
        <w:rPr>
          <w:sz w:val="22"/>
          <w:szCs w:val="22"/>
        </w:rPr>
        <w:t>The Nature Conservancy, Eastern U.S. Division, Boston, MA.</w:t>
      </w:r>
      <w:proofErr w:type="gramEnd"/>
    </w:p>
    <w:p w:rsidR="0013507F" w:rsidRDefault="0013507F" w:rsidP="0013507F">
      <w:pPr>
        <w:autoSpaceDE w:val="0"/>
        <w:autoSpaceDN w:val="0"/>
        <w:adjustRightInd w:val="0"/>
        <w:ind w:left="720" w:hanging="720"/>
        <w:rPr>
          <w:sz w:val="22"/>
          <w:szCs w:val="22"/>
        </w:rPr>
      </w:pPr>
      <w:proofErr w:type="gramStart"/>
      <w:r>
        <w:rPr>
          <w:sz w:val="22"/>
          <w:szCs w:val="22"/>
        </w:rPr>
        <w:t xml:space="preserve">Connor, D. W., Gilliland, P. M., Golding, N., Robinson, P., Todd, D., &amp; </w:t>
      </w:r>
      <w:proofErr w:type="spellStart"/>
      <w:r>
        <w:rPr>
          <w:sz w:val="22"/>
          <w:szCs w:val="22"/>
        </w:rPr>
        <w:t>Verling</w:t>
      </w:r>
      <w:proofErr w:type="spellEnd"/>
      <w:r>
        <w:rPr>
          <w:sz w:val="22"/>
          <w:szCs w:val="22"/>
        </w:rPr>
        <w:t>, E. 2006.</w:t>
      </w:r>
      <w:proofErr w:type="gramEnd"/>
      <w:r>
        <w:rPr>
          <w:sz w:val="22"/>
          <w:szCs w:val="22"/>
        </w:rPr>
        <w:t xml:space="preserve"> </w:t>
      </w:r>
      <w:proofErr w:type="spellStart"/>
      <w:r>
        <w:rPr>
          <w:i/>
          <w:iCs/>
          <w:sz w:val="22"/>
          <w:szCs w:val="22"/>
        </w:rPr>
        <w:t>UKSeaMap</w:t>
      </w:r>
      <w:proofErr w:type="spellEnd"/>
      <w:r>
        <w:rPr>
          <w:i/>
          <w:iCs/>
          <w:sz w:val="22"/>
          <w:szCs w:val="22"/>
        </w:rPr>
        <w:t>: the mapping of seabed and water column features of UK Seas</w:t>
      </w:r>
      <w:r>
        <w:rPr>
          <w:sz w:val="22"/>
          <w:szCs w:val="22"/>
        </w:rPr>
        <w:t xml:space="preserve">. </w:t>
      </w:r>
      <w:proofErr w:type="gramStart"/>
      <w:r>
        <w:rPr>
          <w:sz w:val="22"/>
          <w:szCs w:val="22"/>
        </w:rPr>
        <w:t>Joint Nature Conservation Committee.</w:t>
      </w:r>
      <w:proofErr w:type="gramEnd"/>
    </w:p>
    <w:p w:rsidR="0013507F" w:rsidRPr="00BA4B01" w:rsidRDefault="0013507F" w:rsidP="0013507F">
      <w:pPr>
        <w:autoSpaceDE w:val="0"/>
        <w:autoSpaceDN w:val="0"/>
        <w:adjustRightInd w:val="0"/>
        <w:ind w:left="720" w:hanging="720"/>
        <w:rPr>
          <w:color w:val="000000"/>
          <w:sz w:val="22"/>
          <w:szCs w:val="22"/>
        </w:rPr>
      </w:pPr>
      <w:r w:rsidRPr="00BA4B01">
        <w:rPr>
          <w:color w:val="000000"/>
          <w:sz w:val="22"/>
          <w:szCs w:val="22"/>
        </w:rPr>
        <w:t xml:space="preserve">Greene, H.G., M.M. </w:t>
      </w:r>
      <w:proofErr w:type="spellStart"/>
      <w:r w:rsidRPr="00BA4B01">
        <w:rPr>
          <w:color w:val="000000"/>
          <w:sz w:val="22"/>
          <w:szCs w:val="22"/>
        </w:rPr>
        <w:t>Yoklavich</w:t>
      </w:r>
      <w:proofErr w:type="spellEnd"/>
      <w:r w:rsidRPr="00BA4B01">
        <w:rPr>
          <w:color w:val="000000"/>
          <w:sz w:val="22"/>
          <w:szCs w:val="22"/>
        </w:rPr>
        <w:t xml:space="preserve">, R.M. Starr, V.M. O’Connell, W.W. Wakefield, D.E. Sullivan, J.E. </w:t>
      </w:r>
      <w:proofErr w:type="spellStart"/>
      <w:r w:rsidRPr="00BA4B01">
        <w:rPr>
          <w:color w:val="000000"/>
          <w:sz w:val="22"/>
          <w:szCs w:val="22"/>
        </w:rPr>
        <w:t>McRea</w:t>
      </w:r>
      <w:proofErr w:type="spellEnd"/>
      <w:r w:rsidRPr="00BA4B01">
        <w:rPr>
          <w:color w:val="000000"/>
          <w:sz w:val="22"/>
          <w:szCs w:val="22"/>
        </w:rPr>
        <w:t xml:space="preserve"> Jr. and G.M. </w:t>
      </w:r>
      <w:proofErr w:type="spellStart"/>
      <w:r w:rsidRPr="00BA4B01">
        <w:rPr>
          <w:color w:val="000000"/>
          <w:sz w:val="22"/>
          <w:szCs w:val="22"/>
        </w:rPr>
        <w:t>Caillet</w:t>
      </w:r>
      <w:proofErr w:type="spellEnd"/>
      <w:r w:rsidRPr="00BA4B01">
        <w:rPr>
          <w:color w:val="000000"/>
          <w:sz w:val="22"/>
          <w:szCs w:val="22"/>
        </w:rPr>
        <w:t xml:space="preserve">. 1999. A classification scheme for deep seafloor habitats. </w:t>
      </w:r>
      <w:proofErr w:type="spellStart"/>
      <w:r w:rsidRPr="00BA4B01">
        <w:rPr>
          <w:color w:val="000000"/>
          <w:sz w:val="22"/>
          <w:szCs w:val="22"/>
        </w:rPr>
        <w:t>Oceanologica</w:t>
      </w:r>
      <w:proofErr w:type="spellEnd"/>
      <w:r w:rsidRPr="00BA4B01">
        <w:rPr>
          <w:color w:val="000000"/>
          <w:sz w:val="22"/>
          <w:szCs w:val="22"/>
        </w:rPr>
        <w:t xml:space="preserve"> </w:t>
      </w:r>
      <w:proofErr w:type="spellStart"/>
      <w:r w:rsidRPr="00BA4B01">
        <w:rPr>
          <w:color w:val="000000"/>
          <w:sz w:val="22"/>
          <w:szCs w:val="22"/>
        </w:rPr>
        <w:t>Acta</w:t>
      </w:r>
      <w:proofErr w:type="spellEnd"/>
      <w:r w:rsidRPr="00BA4B01">
        <w:rPr>
          <w:color w:val="000000"/>
          <w:sz w:val="22"/>
          <w:szCs w:val="22"/>
        </w:rPr>
        <w:t xml:space="preserve"> 22:663-678. </w:t>
      </w:r>
    </w:p>
    <w:p w:rsidR="0013507F" w:rsidRDefault="0013507F" w:rsidP="0013507F">
      <w:pPr>
        <w:tabs>
          <w:tab w:val="left" w:pos="720"/>
          <w:tab w:val="left" w:pos="2160"/>
        </w:tabs>
        <w:ind w:left="720" w:hanging="720"/>
        <w:rPr>
          <w:sz w:val="22"/>
          <w:szCs w:val="22"/>
        </w:rPr>
      </w:pPr>
      <w:proofErr w:type="gramStart"/>
      <w:r w:rsidRPr="00CA29F5">
        <w:rPr>
          <w:sz w:val="22"/>
          <w:szCs w:val="22"/>
        </w:rPr>
        <w:t>Greene, J.K., M.G. Anderson, J. Odell, and N. Steinberg, eds. 2010.</w:t>
      </w:r>
      <w:proofErr w:type="gramEnd"/>
      <w:r w:rsidRPr="00CA29F5">
        <w:rPr>
          <w:sz w:val="22"/>
          <w:szCs w:val="22"/>
        </w:rPr>
        <w:t xml:space="preserve"> The Northwest Atlantic Marine Ecoregional Assessment: Species, Habitats and Ecosystems. </w:t>
      </w:r>
      <w:proofErr w:type="gramStart"/>
      <w:r w:rsidRPr="00CA29F5">
        <w:rPr>
          <w:sz w:val="22"/>
          <w:szCs w:val="22"/>
        </w:rPr>
        <w:t>Phase</w:t>
      </w:r>
      <w:proofErr w:type="gramEnd"/>
      <w:r w:rsidRPr="00CA29F5">
        <w:rPr>
          <w:sz w:val="22"/>
          <w:szCs w:val="22"/>
        </w:rPr>
        <w:t xml:space="preserve"> One. </w:t>
      </w:r>
      <w:proofErr w:type="gramStart"/>
      <w:r w:rsidRPr="00CA29F5">
        <w:rPr>
          <w:sz w:val="22"/>
          <w:szCs w:val="22"/>
        </w:rPr>
        <w:t>The Nature Conservancy, Eastern U.S. Division, Boston, MA.</w:t>
      </w:r>
      <w:proofErr w:type="gramEnd"/>
      <w:r w:rsidR="00F5733E">
        <w:fldChar w:fldCharType="begin"/>
      </w:r>
      <w:r w:rsidR="00F5733E">
        <w:instrText>HYPERLINK "http://www.nature.org/wherewework/northamerica/states/easternusmarine/maps/"</w:instrText>
      </w:r>
      <w:r w:rsidR="00F5733E">
        <w:fldChar w:fldCharType="separate"/>
      </w:r>
      <w:r w:rsidRPr="00CA29F5">
        <w:rPr>
          <w:rStyle w:val="Hyperlink"/>
          <w:sz w:val="22"/>
          <w:szCs w:val="22"/>
        </w:rPr>
        <w:t>http://www.nature.org/wherewework/northamerica/states/easternusmarine/maps/</w:t>
      </w:r>
      <w:r w:rsidR="00F5733E">
        <w:fldChar w:fldCharType="end"/>
      </w:r>
    </w:p>
    <w:p w:rsidR="0013507F" w:rsidRPr="00BA4B01" w:rsidRDefault="0013507F" w:rsidP="0013507F">
      <w:pPr>
        <w:autoSpaceDE w:val="0"/>
        <w:autoSpaceDN w:val="0"/>
        <w:adjustRightInd w:val="0"/>
        <w:ind w:left="720" w:hanging="720"/>
        <w:rPr>
          <w:sz w:val="22"/>
          <w:szCs w:val="22"/>
        </w:rPr>
      </w:pPr>
      <w:proofErr w:type="gramStart"/>
      <w:r w:rsidRPr="00BA4B01">
        <w:rPr>
          <w:sz w:val="22"/>
          <w:szCs w:val="22"/>
        </w:rPr>
        <w:t>Madden,</w:t>
      </w:r>
      <w:proofErr w:type="gramEnd"/>
      <w:r w:rsidRPr="00BA4B01">
        <w:rPr>
          <w:sz w:val="22"/>
          <w:szCs w:val="22"/>
        </w:rPr>
        <w:t xml:space="preserve"> C.J., D.H. Grossman and K.L. </w:t>
      </w:r>
      <w:proofErr w:type="spellStart"/>
      <w:r w:rsidRPr="00BA4B01">
        <w:rPr>
          <w:sz w:val="22"/>
          <w:szCs w:val="22"/>
        </w:rPr>
        <w:t>Goodin</w:t>
      </w:r>
      <w:proofErr w:type="spellEnd"/>
      <w:r w:rsidRPr="00BA4B01">
        <w:rPr>
          <w:sz w:val="22"/>
          <w:szCs w:val="22"/>
        </w:rPr>
        <w:t xml:space="preserve">. 2005. Coastal and Marine Systems of North America: Framework for an Ecological Classification Standard: Version II. </w:t>
      </w:r>
      <w:proofErr w:type="spellStart"/>
      <w:proofErr w:type="gramStart"/>
      <w:r w:rsidRPr="00BA4B01">
        <w:rPr>
          <w:sz w:val="22"/>
          <w:szCs w:val="22"/>
        </w:rPr>
        <w:t>NatureServe</w:t>
      </w:r>
      <w:proofErr w:type="spellEnd"/>
      <w:r w:rsidRPr="00BA4B01">
        <w:rPr>
          <w:sz w:val="22"/>
          <w:szCs w:val="22"/>
        </w:rPr>
        <w:t>, Arlington, VA.</w:t>
      </w:r>
      <w:proofErr w:type="gramEnd"/>
      <w:r w:rsidRPr="00BA4B01">
        <w:rPr>
          <w:sz w:val="22"/>
          <w:szCs w:val="22"/>
        </w:rPr>
        <w:t xml:space="preserve"> Available at: http://www.natureserve.org/getData/CMECS/cm_pub.pdf </w:t>
      </w:r>
    </w:p>
    <w:p w:rsidR="0013507F" w:rsidRDefault="0013507F" w:rsidP="0013507F">
      <w:pPr>
        <w:ind w:left="720" w:hanging="720"/>
        <w:rPr>
          <w:sz w:val="22"/>
          <w:szCs w:val="22"/>
        </w:rPr>
      </w:pPr>
      <w:r w:rsidRPr="00F843B3">
        <w:rPr>
          <w:sz w:val="22"/>
          <w:szCs w:val="22"/>
        </w:rPr>
        <w:t xml:space="preserve">Mayer, G., C. Madden, and K. </w:t>
      </w:r>
      <w:proofErr w:type="spellStart"/>
      <w:r w:rsidRPr="00F843B3">
        <w:rPr>
          <w:sz w:val="22"/>
          <w:szCs w:val="22"/>
        </w:rPr>
        <w:t>Goodin</w:t>
      </w:r>
      <w:proofErr w:type="spellEnd"/>
      <w:r w:rsidRPr="00F843B3">
        <w:rPr>
          <w:sz w:val="22"/>
          <w:szCs w:val="22"/>
        </w:rPr>
        <w:t>. CMECS implementation group members commenting on reviews received in FGDC public comment period for CMECS version 3.1.</w:t>
      </w:r>
      <w:r>
        <w:rPr>
          <w:sz w:val="22"/>
          <w:szCs w:val="22"/>
        </w:rPr>
        <w:t xml:space="preserve"> </w:t>
      </w:r>
      <w:r w:rsidRPr="00F843B3">
        <w:rPr>
          <w:sz w:val="22"/>
          <w:szCs w:val="22"/>
        </w:rPr>
        <w:t>Conversation held 1/14/11 at Water Column Component Workshop, New Orleans.</w:t>
      </w:r>
    </w:p>
    <w:p w:rsidR="0013507F" w:rsidRDefault="0013507F" w:rsidP="0013507F">
      <w:pPr>
        <w:ind w:left="720" w:hanging="720"/>
        <w:rPr>
          <w:sz w:val="22"/>
          <w:szCs w:val="22"/>
        </w:rPr>
      </w:pPr>
      <w:r w:rsidRPr="00CA29F5">
        <w:rPr>
          <w:sz w:val="22"/>
          <w:szCs w:val="22"/>
        </w:rPr>
        <w:t xml:space="preserve">Spalding M., H. Fox, N. Davidson, Z. </w:t>
      </w:r>
      <w:proofErr w:type="spellStart"/>
      <w:r w:rsidRPr="00CA29F5">
        <w:rPr>
          <w:sz w:val="22"/>
          <w:szCs w:val="22"/>
        </w:rPr>
        <w:t>Ferdana</w:t>
      </w:r>
      <w:proofErr w:type="spellEnd"/>
      <w:r w:rsidRPr="00CA29F5">
        <w:rPr>
          <w:sz w:val="22"/>
          <w:szCs w:val="22"/>
        </w:rPr>
        <w:t xml:space="preserve">, M. Finlayson, B. </w:t>
      </w:r>
      <w:proofErr w:type="spellStart"/>
      <w:r w:rsidRPr="00CA29F5">
        <w:rPr>
          <w:sz w:val="22"/>
          <w:szCs w:val="22"/>
        </w:rPr>
        <w:t>Halpern</w:t>
      </w:r>
      <w:proofErr w:type="spellEnd"/>
      <w:r w:rsidRPr="00CA29F5">
        <w:rPr>
          <w:sz w:val="22"/>
          <w:szCs w:val="22"/>
        </w:rPr>
        <w:t xml:space="preserve">, M. Jorge, A. </w:t>
      </w:r>
      <w:proofErr w:type="spellStart"/>
      <w:r w:rsidRPr="00CA29F5">
        <w:rPr>
          <w:sz w:val="22"/>
          <w:szCs w:val="22"/>
        </w:rPr>
        <w:t>Lombana</w:t>
      </w:r>
      <w:proofErr w:type="spellEnd"/>
      <w:r w:rsidRPr="00CA29F5">
        <w:rPr>
          <w:sz w:val="22"/>
          <w:szCs w:val="22"/>
        </w:rPr>
        <w:t xml:space="preserve">, S. </w:t>
      </w:r>
      <w:proofErr w:type="spellStart"/>
      <w:r w:rsidRPr="00CA29F5">
        <w:rPr>
          <w:sz w:val="22"/>
          <w:szCs w:val="22"/>
        </w:rPr>
        <w:t>Lourie</w:t>
      </w:r>
      <w:proofErr w:type="spellEnd"/>
      <w:r w:rsidRPr="00CA29F5">
        <w:rPr>
          <w:sz w:val="22"/>
          <w:szCs w:val="22"/>
        </w:rPr>
        <w:t xml:space="preserve">, </w:t>
      </w:r>
      <w:proofErr w:type="spellStart"/>
      <w:r w:rsidRPr="00CA29F5">
        <w:rPr>
          <w:sz w:val="22"/>
          <w:szCs w:val="22"/>
        </w:rPr>
        <w:t>K.Martin</w:t>
      </w:r>
      <w:proofErr w:type="spellEnd"/>
      <w:r w:rsidRPr="00CA29F5">
        <w:rPr>
          <w:sz w:val="22"/>
          <w:szCs w:val="22"/>
        </w:rPr>
        <w:t xml:space="preserve">, E. McManus, J. Molnar, K. Newman, C. </w:t>
      </w:r>
      <w:proofErr w:type="spellStart"/>
      <w:r w:rsidRPr="00CA29F5">
        <w:rPr>
          <w:sz w:val="22"/>
          <w:szCs w:val="22"/>
        </w:rPr>
        <w:t>Recchia</w:t>
      </w:r>
      <w:proofErr w:type="spellEnd"/>
      <w:r w:rsidRPr="00CA29F5">
        <w:rPr>
          <w:sz w:val="22"/>
          <w:szCs w:val="22"/>
        </w:rPr>
        <w:t xml:space="preserve">, and J. Robertson. 2007. Marine </w:t>
      </w:r>
      <w:proofErr w:type="spellStart"/>
      <w:r w:rsidRPr="00CA29F5">
        <w:rPr>
          <w:sz w:val="22"/>
          <w:szCs w:val="22"/>
        </w:rPr>
        <w:t>Ecoregions</w:t>
      </w:r>
      <w:proofErr w:type="spellEnd"/>
      <w:r w:rsidRPr="00CA29F5">
        <w:rPr>
          <w:sz w:val="22"/>
          <w:szCs w:val="22"/>
        </w:rPr>
        <w:t xml:space="preserve"> of the World: A </w:t>
      </w:r>
      <w:proofErr w:type="spellStart"/>
      <w:r w:rsidRPr="00CA29F5">
        <w:rPr>
          <w:sz w:val="22"/>
          <w:szCs w:val="22"/>
        </w:rPr>
        <w:t>Bioregionalization</w:t>
      </w:r>
      <w:proofErr w:type="spellEnd"/>
      <w:r w:rsidRPr="00CA29F5">
        <w:rPr>
          <w:sz w:val="22"/>
          <w:szCs w:val="22"/>
        </w:rPr>
        <w:t xml:space="preserve"> of Coastal and Shelf Are</w:t>
      </w:r>
      <w:r>
        <w:rPr>
          <w:sz w:val="22"/>
          <w:szCs w:val="22"/>
        </w:rPr>
        <w:t xml:space="preserve">as. </w:t>
      </w:r>
      <w:proofErr w:type="gramStart"/>
      <w:r>
        <w:rPr>
          <w:sz w:val="22"/>
          <w:szCs w:val="22"/>
        </w:rPr>
        <w:t>Bioscience.</w:t>
      </w:r>
      <w:proofErr w:type="gramEnd"/>
      <w:r>
        <w:rPr>
          <w:sz w:val="22"/>
          <w:szCs w:val="22"/>
        </w:rPr>
        <w:t xml:space="preserve"> 57 (7):573-583.</w:t>
      </w:r>
    </w:p>
    <w:p w:rsidR="0013507F" w:rsidRDefault="0013507F" w:rsidP="0013507F">
      <w:pPr>
        <w:ind w:left="720" w:hanging="720"/>
      </w:pPr>
      <w:proofErr w:type="gramStart"/>
      <w:r w:rsidRPr="00BA4B01">
        <w:rPr>
          <w:sz w:val="22"/>
          <w:szCs w:val="22"/>
        </w:rPr>
        <w:t xml:space="preserve">Valentine, P.C., B.J. Todd and V.E. </w:t>
      </w:r>
      <w:proofErr w:type="spellStart"/>
      <w:r w:rsidRPr="00BA4B01">
        <w:rPr>
          <w:sz w:val="22"/>
          <w:szCs w:val="22"/>
        </w:rPr>
        <w:t>Kostylev</w:t>
      </w:r>
      <w:proofErr w:type="spellEnd"/>
      <w:r w:rsidRPr="00BA4B01">
        <w:rPr>
          <w:sz w:val="22"/>
          <w:szCs w:val="22"/>
        </w:rPr>
        <w:t>.</w:t>
      </w:r>
      <w:proofErr w:type="gramEnd"/>
      <w:r w:rsidRPr="00BA4B01">
        <w:rPr>
          <w:sz w:val="22"/>
          <w:szCs w:val="22"/>
        </w:rPr>
        <w:t xml:space="preserve"> 2005. Classification of marine </w:t>
      </w:r>
      <w:proofErr w:type="spellStart"/>
      <w:r w:rsidRPr="00BA4B01">
        <w:rPr>
          <w:sz w:val="22"/>
          <w:szCs w:val="22"/>
        </w:rPr>
        <w:t>sublittoral</w:t>
      </w:r>
      <w:proofErr w:type="spellEnd"/>
      <w:r w:rsidRPr="00BA4B01">
        <w:rPr>
          <w:sz w:val="22"/>
          <w:szCs w:val="22"/>
        </w:rPr>
        <w:t xml:space="preserve"> habitats, with application to the northeastern North America region. American Fisheries Society Symposium 41:183-200. Available at: </w:t>
      </w:r>
      <w:hyperlink r:id="rId13" w:history="1">
        <w:r w:rsidRPr="00522EF6">
          <w:rPr>
            <w:rStyle w:val="Hyperlink"/>
            <w:sz w:val="22"/>
            <w:szCs w:val="22"/>
          </w:rPr>
          <w:t>http://woodshole.er.usgs.gov/project-pages/stellwagen/index.html. 31</w:t>
        </w:r>
      </w:hyperlink>
    </w:p>
    <w:p w:rsidR="0013507F" w:rsidRDefault="0013507F" w:rsidP="0013507F">
      <w:pPr>
        <w:autoSpaceDE w:val="0"/>
        <w:autoSpaceDN w:val="0"/>
        <w:adjustRightInd w:val="0"/>
        <w:ind w:left="720" w:hanging="720"/>
      </w:pPr>
    </w:p>
    <w:p w:rsidR="0013507F" w:rsidRDefault="0013507F">
      <w:pPr>
        <w:rPr>
          <w:b/>
          <w:bCs/>
          <w:sz w:val="22"/>
          <w:szCs w:val="22"/>
        </w:rPr>
      </w:pPr>
      <w:r>
        <w:rPr>
          <w:b/>
          <w:bCs/>
          <w:sz w:val="22"/>
          <w:szCs w:val="22"/>
        </w:rPr>
        <w:br w:type="page"/>
      </w:r>
    </w:p>
    <w:p w:rsidR="00C71638" w:rsidRPr="00CA29F5" w:rsidRDefault="00C71638" w:rsidP="009519E3">
      <w:pPr>
        <w:adjustRightInd w:val="0"/>
        <w:spacing w:line="360" w:lineRule="auto"/>
        <w:outlineLvl w:val="0"/>
        <w:rPr>
          <w:b/>
          <w:bCs/>
          <w:sz w:val="22"/>
          <w:szCs w:val="22"/>
        </w:rPr>
      </w:pPr>
      <w:r w:rsidRPr="00CA29F5">
        <w:rPr>
          <w:b/>
          <w:bCs/>
          <w:sz w:val="22"/>
          <w:szCs w:val="22"/>
        </w:rPr>
        <w:lastRenderedPageBreak/>
        <w:t>Principal Investigator Qualifications</w:t>
      </w:r>
    </w:p>
    <w:p w:rsidR="00C71638" w:rsidRPr="00CA29F5" w:rsidRDefault="00C71638" w:rsidP="00190614">
      <w:pPr>
        <w:outlineLvl w:val="0"/>
        <w:rPr>
          <w:b/>
          <w:bCs/>
          <w:sz w:val="22"/>
          <w:szCs w:val="22"/>
        </w:rPr>
      </w:pPr>
      <w:r w:rsidRPr="00CA29F5">
        <w:rPr>
          <w:b/>
          <w:bCs/>
          <w:sz w:val="22"/>
          <w:szCs w:val="22"/>
        </w:rPr>
        <w:t>The Nature Conservancy</w:t>
      </w:r>
    </w:p>
    <w:p w:rsidR="00C71638" w:rsidRPr="00CA29F5" w:rsidRDefault="00C71638" w:rsidP="001D5F39">
      <w:pPr>
        <w:autoSpaceDE w:val="0"/>
        <w:autoSpaceDN w:val="0"/>
        <w:adjustRightInd w:val="0"/>
        <w:rPr>
          <w:sz w:val="22"/>
          <w:szCs w:val="22"/>
        </w:rPr>
      </w:pPr>
      <w:r w:rsidRPr="00CA29F5">
        <w:rPr>
          <w:sz w:val="22"/>
          <w:szCs w:val="22"/>
        </w:rPr>
        <w:t xml:space="preserve">Mark G. Anderson, Ph.D. is the Director of Conservation Science of The Nature Conservancy’s Eastern North America Division where </w:t>
      </w:r>
      <w:r w:rsidRPr="00CA29F5">
        <w:rPr>
          <w:spacing w:val="-3"/>
          <w:sz w:val="22"/>
          <w:szCs w:val="22"/>
        </w:rPr>
        <w:t xml:space="preserve">he developed and performed ecological and biophysical assessments of large regions. </w:t>
      </w:r>
      <w:r w:rsidRPr="00CA29F5">
        <w:rPr>
          <w:sz w:val="22"/>
          <w:szCs w:val="22"/>
        </w:rPr>
        <w:t xml:space="preserve">Dr. Anderson co-led the science team for the Northwest Atlantic Marine assessment and the technical team for the seafloor </w:t>
      </w:r>
      <w:proofErr w:type="spellStart"/>
      <w:r w:rsidRPr="00CA29F5">
        <w:rPr>
          <w:sz w:val="22"/>
          <w:szCs w:val="22"/>
        </w:rPr>
        <w:t>habiatat</w:t>
      </w:r>
      <w:proofErr w:type="spellEnd"/>
      <w:r w:rsidRPr="00CA29F5">
        <w:rPr>
          <w:sz w:val="22"/>
          <w:szCs w:val="22"/>
        </w:rPr>
        <w:t xml:space="preserve"> component.</w:t>
      </w:r>
      <w:r w:rsidRPr="00CA29F5">
        <w:rPr>
          <w:spacing w:val="-3"/>
          <w:sz w:val="22"/>
          <w:szCs w:val="22"/>
        </w:rPr>
        <w:t xml:space="preserve"> Dr. Anderson has been with TNC since 1991 and his papers have appeared in journals ranging from Bioscience to Environmental Management. His most recent publication is a chapter on large scale conservation in</w:t>
      </w:r>
      <w:r w:rsidRPr="00CA29F5">
        <w:rPr>
          <w:sz w:val="22"/>
          <w:szCs w:val="22"/>
        </w:rPr>
        <w:t xml:space="preserve"> Integrating Ecoregional Planning at Greater Spatial Scales. </w:t>
      </w:r>
      <w:proofErr w:type="gramStart"/>
      <w:r w:rsidRPr="00CA29F5">
        <w:rPr>
          <w:sz w:val="22"/>
          <w:szCs w:val="22"/>
        </w:rPr>
        <w:t>in</w:t>
      </w:r>
      <w:proofErr w:type="gramEnd"/>
      <w:r w:rsidRPr="00CA29F5">
        <w:rPr>
          <w:sz w:val="22"/>
          <w:szCs w:val="22"/>
        </w:rPr>
        <w:t xml:space="preserve"> S.C. </w:t>
      </w:r>
      <w:proofErr w:type="spellStart"/>
      <w:r w:rsidRPr="00CA29F5">
        <w:rPr>
          <w:sz w:val="22"/>
          <w:szCs w:val="22"/>
        </w:rPr>
        <w:t>Trombulak</w:t>
      </w:r>
      <w:proofErr w:type="spellEnd"/>
      <w:r w:rsidRPr="00CA29F5">
        <w:rPr>
          <w:sz w:val="22"/>
          <w:szCs w:val="22"/>
        </w:rPr>
        <w:t xml:space="preserve"> and R.F. Baldwin (eds.), Landscape-scale Conservation Planning, Springer Science. </w:t>
      </w:r>
      <w:proofErr w:type="gramStart"/>
      <w:r w:rsidRPr="00CA29F5">
        <w:rPr>
          <w:sz w:val="22"/>
          <w:szCs w:val="22"/>
        </w:rPr>
        <w:t>427 p.</w:t>
      </w:r>
      <w:proofErr w:type="gramEnd"/>
    </w:p>
    <w:p w:rsidR="00C71638" w:rsidRPr="00CA29F5" w:rsidRDefault="00C71638" w:rsidP="00BF7633">
      <w:pPr>
        <w:pStyle w:val="BodyTextIndent2"/>
        <w:ind w:left="0"/>
        <w:rPr>
          <w:sz w:val="22"/>
          <w:szCs w:val="22"/>
        </w:rPr>
      </w:pPr>
    </w:p>
    <w:p w:rsidR="00C71638" w:rsidRPr="00CA29F5" w:rsidRDefault="007E5265" w:rsidP="007C37D2">
      <w:pPr>
        <w:pStyle w:val="BodyTextIndent2"/>
        <w:ind w:left="0"/>
        <w:rPr>
          <w:sz w:val="22"/>
          <w:szCs w:val="22"/>
        </w:rPr>
      </w:pPr>
      <w:r w:rsidRPr="007E5265">
        <w:rPr>
          <w:sz w:val="22"/>
          <w:szCs w:val="22"/>
        </w:rPr>
        <w:t>Jennifer Greene, M.S., is the Marine Scientist for The Nature Conservancy’s Eastern North America Division. She has an extensive background in coastal and estuarine marine science and restoration and provided scientific and technical support for the Northwest Atlantic Ecoregional Marine Assessment. Regionally, she helps lead in the development of marine spatial planning approaches,</w:t>
      </w:r>
      <w:r w:rsidR="0088408B">
        <w:rPr>
          <w:sz w:val="22"/>
          <w:szCs w:val="22"/>
        </w:rPr>
        <w:t xml:space="preserve"> </w:t>
      </w:r>
      <w:r w:rsidRPr="007E5265">
        <w:rPr>
          <w:sz w:val="22"/>
          <w:szCs w:val="22"/>
        </w:rPr>
        <w:t>and the development of metrics for measuring marine conservation success, and supports large scale restoration projects in coastal habitats on the Atlantic C</w:t>
      </w:r>
      <w:r w:rsidR="007C37D2">
        <w:rPr>
          <w:sz w:val="22"/>
          <w:szCs w:val="22"/>
        </w:rPr>
        <w:t>oast and in the Gulf of Mexico.</w:t>
      </w:r>
    </w:p>
    <w:p w:rsidR="00C71638" w:rsidRPr="00CA29F5" w:rsidRDefault="00C71638" w:rsidP="00BF7633">
      <w:pPr>
        <w:pStyle w:val="BodyTextIndent2"/>
        <w:ind w:left="0"/>
        <w:rPr>
          <w:sz w:val="22"/>
          <w:szCs w:val="22"/>
        </w:rPr>
      </w:pPr>
    </w:p>
    <w:p w:rsidR="00C71638" w:rsidRPr="00CA29F5" w:rsidRDefault="00C71638" w:rsidP="00BF7633">
      <w:pPr>
        <w:pStyle w:val="BodyTextIndent2"/>
        <w:ind w:left="0"/>
        <w:rPr>
          <w:b/>
          <w:bCs/>
          <w:sz w:val="22"/>
          <w:szCs w:val="22"/>
        </w:rPr>
      </w:pPr>
      <w:r w:rsidRPr="00CA29F5">
        <w:rPr>
          <w:b/>
          <w:bCs/>
          <w:sz w:val="22"/>
          <w:szCs w:val="22"/>
        </w:rPr>
        <w:t xml:space="preserve">Massachusetts </w:t>
      </w:r>
      <w:r>
        <w:rPr>
          <w:b/>
          <w:bCs/>
          <w:sz w:val="22"/>
          <w:szCs w:val="22"/>
        </w:rPr>
        <w:t xml:space="preserve">Dept of Fish and Game, </w:t>
      </w:r>
      <w:r w:rsidRPr="00CA29F5">
        <w:rPr>
          <w:b/>
          <w:bCs/>
          <w:sz w:val="22"/>
          <w:szCs w:val="22"/>
        </w:rPr>
        <w:t>Division of Marine Fisheries</w:t>
      </w:r>
    </w:p>
    <w:p w:rsidR="00C71638" w:rsidRPr="00CA29F5" w:rsidRDefault="00C71638" w:rsidP="00BF7633">
      <w:pPr>
        <w:pStyle w:val="BodyTextIndent2"/>
        <w:ind w:left="0"/>
        <w:rPr>
          <w:sz w:val="22"/>
          <w:szCs w:val="22"/>
        </w:rPr>
      </w:pPr>
      <w:r w:rsidRPr="00CA29F5">
        <w:rPr>
          <w:sz w:val="22"/>
          <w:szCs w:val="22"/>
        </w:rPr>
        <w:t>Kathryn Ford, Ph.D. is the leader of the Fisheries Habitat Program within the Massachusetts Department of Fish and Game, Division of Marine Fisheries.</w:t>
      </w:r>
      <w:r w:rsidR="0088408B">
        <w:rPr>
          <w:sz w:val="22"/>
          <w:szCs w:val="22"/>
        </w:rPr>
        <w:t xml:space="preserve"> </w:t>
      </w:r>
      <w:r w:rsidRPr="00CA29F5">
        <w:rPr>
          <w:sz w:val="22"/>
          <w:szCs w:val="22"/>
        </w:rPr>
        <w:t>Dr. Ford’s research focus is on mapping and classifying marine habitats in the interests of better understanding distributions of marine fisheries resources.</w:t>
      </w:r>
      <w:r w:rsidR="0088408B">
        <w:rPr>
          <w:sz w:val="22"/>
          <w:szCs w:val="22"/>
        </w:rPr>
        <w:t xml:space="preserve"> </w:t>
      </w:r>
      <w:r w:rsidRPr="00CA29F5">
        <w:rPr>
          <w:sz w:val="22"/>
          <w:szCs w:val="22"/>
        </w:rPr>
        <w:t>She is a member of the Massachusetts Ocean Management Plan Science Advisory Panel, a member of the Metro Boston Habitat Coalition, and a member of the New England Fisheries Management Council Habitat Plan Development Team (PDT).</w:t>
      </w:r>
      <w:r w:rsidR="0088408B">
        <w:rPr>
          <w:sz w:val="22"/>
          <w:szCs w:val="22"/>
        </w:rPr>
        <w:t xml:space="preserve"> </w:t>
      </w:r>
      <w:r w:rsidRPr="00CA29F5">
        <w:rPr>
          <w:sz w:val="22"/>
          <w:szCs w:val="22"/>
        </w:rPr>
        <w:t>Dr. Ford maintains the substrate dataset in Massachusetts and collects seafloor data (primarily acoustic and video) throughout Massachusetts and adjacent federal waters.</w:t>
      </w:r>
      <w:r w:rsidR="0088408B">
        <w:rPr>
          <w:sz w:val="22"/>
          <w:szCs w:val="22"/>
        </w:rPr>
        <w:t xml:space="preserve"> </w:t>
      </w:r>
      <w:r w:rsidRPr="00CA29F5">
        <w:rPr>
          <w:sz w:val="22"/>
          <w:szCs w:val="22"/>
        </w:rPr>
        <w:t>In her capacity on the PDT, she participated in the development of the Swept Area Seabed Impact Model (SASI) which created a habitat model and seafloor vulnerability assessment in federal waters from Virginia to Maine.</w:t>
      </w:r>
      <w:r w:rsidR="0088408B">
        <w:rPr>
          <w:sz w:val="22"/>
          <w:szCs w:val="22"/>
        </w:rPr>
        <w:t xml:space="preserve"> </w:t>
      </w:r>
    </w:p>
    <w:p w:rsidR="00C71638" w:rsidRDefault="00C71638" w:rsidP="00BF7633">
      <w:pPr>
        <w:pStyle w:val="BodyTextIndent2"/>
        <w:ind w:left="0"/>
        <w:rPr>
          <w:sz w:val="22"/>
          <w:szCs w:val="22"/>
        </w:rPr>
      </w:pPr>
    </w:p>
    <w:p w:rsidR="009733C6" w:rsidRDefault="009733C6" w:rsidP="00BF7633">
      <w:pPr>
        <w:pStyle w:val="BodyTextIndent2"/>
        <w:ind w:left="0"/>
        <w:rPr>
          <w:b/>
          <w:bCs/>
          <w:sz w:val="22"/>
          <w:szCs w:val="22"/>
        </w:rPr>
      </w:pPr>
    </w:p>
    <w:p w:rsidR="00C71638" w:rsidRPr="004A778B" w:rsidRDefault="00C71638" w:rsidP="00BF7633">
      <w:pPr>
        <w:pStyle w:val="BodyTextIndent2"/>
        <w:ind w:left="0"/>
        <w:rPr>
          <w:b/>
          <w:bCs/>
          <w:sz w:val="22"/>
          <w:szCs w:val="22"/>
        </w:rPr>
      </w:pPr>
      <w:r w:rsidRPr="004A778B">
        <w:rPr>
          <w:b/>
          <w:bCs/>
          <w:sz w:val="22"/>
          <w:szCs w:val="22"/>
        </w:rPr>
        <w:t>Graduate School of Oceanography, University of Rhode Island</w:t>
      </w:r>
    </w:p>
    <w:p w:rsidR="00C71638" w:rsidRPr="00CA29F5" w:rsidRDefault="00C71638" w:rsidP="003F3CA1">
      <w:pPr>
        <w:pStyle w:val="BodyTextIndent2"/>
        <w:ind w:left="0"/>
        <w:rPr>
          <w:sz w:val="22"/>
          <w:szCs w:val="22"/>
        </w:rPr>
      </w:pPr>
      <w:r w:rsidRPr="00CA29F5">
        <w:rPr>
          <w:sz w:val="22"/>
          <w:szCs w:val="22"/>
        </w:rPr>
        <w:t>John King</w:t>
      </w:r>
      <w:r>
        <w:rPr>
          <w:sz w:val="22"/>
          <w:szCs w:val="22"/>
        </w:rPr>
        <w:t xml:space="preserve"> </w:t>
      </w:r>
      <w:r w:rsidR="0083003F">
        <w:rPr>
          <w:sz w:val="22"/>
          <w:szCs w:val="22"/>
        </w:rPr>
        <w:t xml:space="preserve">Ph.D. </w:t>
      </w:r>
      <w:r>
        <w:rPr>
          <w:sz w:val="22"/>
          <w:szCs w:val="22"/>
        </w:rPr>
        <w:t xml:space="preserve">coordinates the </w:t>
      </w:r>
      <w:proofErr w:type="spellStart"/>
      <w:r>
        <w:rPr>
          <w:sz w:val="22"/>
          <w:szCs w:val="22"/>
        </w:rPr>
        <w:t>Paleomagnetics</w:t>
      </w:r>
      <w:proofErr w:type="spellEnd"/>
      <w:r>
        <w:rPr>
          <w:sz w:val="22"/>
          <w:szCs w:val="22"/>
        </w:rPr>
        <w:t xml:space="preserve"> and Environmental Mapping Laboratory at the Graduate School of Oceanography. The lab’s research in environmental mapping currently focuses on geophysical data acquisition, processing, and interpretation, </w:t>
      </w:r>
      <w:proofErr w:type="spellStart"/>
      <w:r>
        <w:rPr>
          <w:sz w:val="22"/>
          <w:szCs w:val="22"/>
        </w:rPr>
        <w:t>abiotic</w:t>
      </w:r>
      <w:proofErr w:type="spellEnd"/>
      <w:r>
        <w:rPr>
          <w:sz w:val="22"/>
          <w:szCs w:val="22"/>
        </w:rPr>
        <w:t xml:space="preserve"> and biotic benthic habitat linkages, classification of benthic habitat and sub-benthic </w:t>
      </w:r>
      <w:proofErr w:type="spellStart"/>
      <w:r>
        <w:rPr>
          <w:sz w:val="22"/>
          <w:szCs w:val="22"/>
        </w:rPr>
        <w:t>paleo</w:t>
      </w:r>
      <w:proofErr w:type="spellEnd"/>
      <w:r>
        <w:rPr>
          <w:sz w:val="22"/>
          <w:szCs w:val="22"/>
        </w:rPr>
        <w:t>-environments, and benthic habitat data interpretation for ecological valuation and marine spatial planning. The King Lab has mapped 75% of the Narragansett Bay seafloor and several areas of interest to wind farm development and fisheries resources in Rhode Island and Block Island Sounds to support the Rhode Island Ocean Special Area Management Plan.</w:t>
      </w:r>
    </w:p>
    <w:p w:rsidR="00C71638" w:rsidRPr="00CA29F5" w:rsidRDefault="00C71638" w:rsidP="003F3CA1">
      <w:pPr>
        <w:pStyle w:val="BodyTextIndent2"/>
        <w:ind w:left="0"/>
        <w:rPr>
          <w:b/>
          <w:bCs/>
          <w:sz w:val="22"/>
          <w:szCs w:val="22"/>
        </w:rPr>
      </w:pPr>
    </w:p>
    <w:p w:rsidR="00C71638" w:rsidRPr="00CA29F5" w:rsidRDefault="00C71638" w:rsidP="004F2B52">
      <w:pPr>
        <w:rPr>
          <w:sz w:val="22"/>
          <w:szCs w:val="22"/>
        </w:rPr>
      </w:pPr>
      <w:r w:rsidRPr="00CA29F5">
        <w:rPr>
          <w:sz w:val="22"/>
          <w:szCs w:val="22"/>
        </w:rPr>
        <w:br w:type="page"/>
      </w:r>
      <w:r w:rsidRPr="00CA29F5">
        <w:rPr>
          <w:sz w:val="22"/>
          <w:szCs w:val="22"/>
        </w:rPr>
        <w:lastRenderedPageBreak/>
        <w:t>Figures</w:t>
      </w:r>
    </w:p>
    <w:p w:rsidR="00C71638" w:rsidRPr="00CA29F5" w:rsidRDefault="00C71638" w:rsidP="004F2B52">
      <w:pPr>
        <w:rPr>
          <w:sz w:val="22"/>
          <w:szCs w:val="22"/>
        </w:rPr>
      </w:pPr>
    </w:p>
    <w:p w:rsidR="00C71638" w:rsidRPr="00CA29F5" w:rsidRDefault="00C71638" w:rsidP="004F2B52">
      <w:pPr>
        <w:rPr>
          <w:sz w:val="22"/>
          <w:szCs w:val="22"/>
        </w:rPr>
      </w:pPr>
      <w:r w:rsidRPr="00CA29F5">
        <w:rPr>
          <w:sz w:val="22"/>
          <w:szCs w:val="22"/>
        </w:rPr>
        <w:t>1.</w:t>
      </w:r>
      <w:r w:rsidR="0088408B">
        <w:rPr>
          <w:sz w:val="22"/>
          <w:szCs w:val="22"/>
        </w:rPr>
        <w:t xml:space="preserve"> </w:t>
      </w:r>
      <w:r w:rsidRPr="00CA29F5">
        <w:rPr>
          <w:sz w:val="22"/>
          <w:szCs w:val="22"/>
        </w:rPr>
        <w:t xml:space="preserve">Proposed assessment area with bathymetry </w:t>
      </w:r>
    </w:p>
    <w:p w:rsidR="00C71638" w:rsidRPr="00CA29F5" w:rsidRDefault="00C71638" w:rsidP="004F2B52">
      <w:pPr>
        <w:rPr>
          <w:sz w:val="22"/>
          <w:szCs w:val="22"/>
        </w:rPr>
      </w:pPr>
    </w:p>
    <w:p w:rsidR="00C71638" w:rsidRPr="00CA29F5" w:rsidRDefault="00F843B3" w:rsidP="004F2B52">
      <w:pPr>
        <w:rPr>
          <w:sz w:val="22"/>
          <w:szCs w:val="22"/>
        </w:rPr>
      </w:pPr>
      <w:r>
        <w:rPr>
          <w:noProof/>
          <w:sz w:val="22"/>
          <w:szCs w:val="22"/>
        </w:rPr>
        <w:drawing>
          <wp:inline distT="0" distB="0" distL="0" distR="0">
            <wp:extent cx="5387340" cy="7040880"/>
            <wp:effectExtent l="19050" t="0" r="381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5387340" cy="7040880"/>
                    </a:xfrm>
                    <a:prstGeom prst="rect">
                      <a:avLst/>
                    </a:prstGeom>
                    <a:noFill/>
                    <a:ln w="9525">
                      <a:noFill/>
                      <a:miter lim="800000"/>
                      <a:headEnd/>
                      <a:tailEnd/>
                    </a:ln>
                  </pic:spPr>
                </pic:pic>
              </a:graphicData>
            </a:graphic>
          </wp:inline>
        </w:drawing>
      </w:r>
    </w:p>
    <w:p w:rsidR="00C71638" w:rsidRPr="00CA29F5" w:rsidRDefault="00C71638" w:rsidP="004F2B52">
      <w:pPr>
        <w:rPr>
          <w:sz w:val="22"/>
          <w:szCs w:val="22"/>
        </w:rPr>
      </w:pPr>
    </w:p>
    <w:p w:rsidR="00C71638" w:rsidRPr="00CA29F5" w:rsidRDefault="00C71638" w:rsidP="00C010CC">
      <w:pPr>
        <w:rPr>
          <w:sz w:val="22"/>
          <w:szCs w:val="22"/>
        </w:rPr>
      </w:pPr>
      <w:r w:rsidRPr="00CA29F5">
        <w:rPr>
          <w:sz w:val="22"/>
          <w:szCs w:val="22"/>
        </w:rPr>
        <w:br w:type="page"/>
      </w:r>
      <w:proofErr w:type="gramStart"/>
      <w:r w:rsidRPr="00CA29F5">
        <w:rPr>
          <w:sz w:val="22"/>
          <w:szCs w:val="22"/>
        </w:rPr>
        <w:lastRenderedPageBreak/>
        <w:t>Figure 2.</w:t>
      </w:r>
      <w:proofErr w:type="gramEnd"/>
      <w:r w:rsidRPr="00CA29F5">
        <w:rPr>
          <w:sz w:val="22"/>
          <w:szCs w:val="22"/>
        </w:rPr>
        <w:t xml:space="preserve"> </w:t>
      </w:r>
      <w:proofErr w:type="gramStart"/>
      <w:r w:rsidRPr="00CA29F5">
        <w:rPr>
          <w:sz w:val="22"/>
          <w:szCs w:val="22"/>
        </w:rPr>
        <w:t>The space-time conceptual framework for CMECS and CMECS components.</w:t>
      </w:r>
      <w:proofErr w:type="gramEnd"/>
      <w:r w:rsidRPr="00CA29F5">
        <w:rPr>
          <w:sz w:val="22"/>
          <w:szCs w:val="22"/>
        </w:rPr>
        <w:t xml:space="preserve"> WCC = Water Column Component. GFC = </w:t>
      </w:r>
      <w:proofErr w:type="spellStart"/>
      <w:r w:rsidRPr="00CA29F5">
        <w:rPr>
          <w:sz w:val="22"/>
          <w:szCs w:val="22"/>
        </w:rPr>
        <w:t>Geoform</w:t>
      </w:r>
      <w:proofErr w:type="spellEnd"/>
      <w:r w:rsidRPr="00CA29F5">
        <w:rPr>
          <w:sz w:val="22"/>
          <w:szCs w:val="22"/>
        </w:rPr>
        <w:t xml:space="preserve"> Component. BCC = Biotic Cover Component (now called the Benthic Biotic Component). SGC = Surface Geology Component. SBC = Sub-benthic Component. The SBC has both geologic and biologic components</w:t>
      </w:r>
    </w:p>
    <w:p w:rsidR="00C71638" w:rsidRPr="00CA29F5" w:rsidRDefault="00C71638" w:rsidP="004F2B52">
      <w:pPr>
        <w:rPr>
          <w:sz w:val="22"/>
          <w:szCs w:val="22"/>
        </w:rPr>
      </w:pPr>
    </w:p>
    <w:p w:rsidR="00C71638" w:rsidRPr="00CA29F5" w:rsidRDefault="00F843B3" w:rsidP="004F2B52">
      <w:pPr>
        <w:rPr>
          <w:sz w:val="22"/>
          <w:szCs w:val="22"/>
        </w:rPr>
      </w:pPr>
      <w:r>
        <w:rPr>
          <w:noProof/>
          <w:sz w:val="22"/>
          <w:szCs w:val="22"/>
        </w:rPr>
        <w:drawing>
          <wp:inline distT="0" distB="0" distL="0" distR="0">
            <wp:extent cx="4754880" cy="3733800"/>
            <wp:effectExtent l="19050" t="0" r="762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4754880" cy="3733800"/>
                    </a:xfrm>
                    <a:prstGeom prst="rect">
                      <a:avLst/>
                    </a:prstGeom>
                    <a:noFill/>
                    <a:ln w="9525">
                      <a:noFill/>
                      <a:miter lim="800000"/>
                      <a:headEnd/>
                      <a:tailEnd/>
                    </a:ln>
                  </pic:spPr>
                </pic:pic>
              </a:graphicData>
            </a:graphic>
          </wp:inline>
        </w:drawing>
      </w:r>
    </w:p>
    <w:sectPr w:rsidR="00C71638" w:rsidRPr="00CA29F5" w:rsidSect="000C53BA">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36C" w:rsidRDefault="000F236C">
      <w:r>
        <w:separator/>
      </w:r>
    </w:p>
  </w:endnote>
  <w:endnote w:type="continuationSeparator" w:id="0">
    <w:p w:rsidR="000F236C" w:rsidRDefault="000F23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209641"/>
      <w:docPartObj>
        <w:docPartGallery w:val="Page Numbers (Bottom of Page)"/>
        <w:docPartUnique/>
      </w:docPartObj>
    </w:sdtPr>
    <w:sdtContent>
      <w:p w:rsidR="0013507F" w:rsidRDefault="00F5733E">
        <w:pPr>
          <w:pStyle w:val="Footer"/>
          <w:jc w:val="center"/>
        </w:pPr>
        <w:fldSimple w:instr=" PAGE   \* MERGEFORMAT ">
          <w:r w:rsidR="00052241">
            <w:rPr>
              <w:noProof/>
            </w:rPr>
            <w:t>1</w:t>
          </w:r>
        </w:fldSimple>
      </w:p>
    </w:sdtContent>
  </w:sdt>
  <w:p w:rsidR="0013507F" w:rsidRDefault="001350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36C" w:rsidRDefault="000F236C">
      <w:r>
        <w:separator/>
      </w:r>
    </w:p>
  </w:footnote>
  <w:footnote w:type="continuationSeparator" w:id="0">
    <w:p w:rsidR="000F236C" w:rsidRDefault="000F23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4506"/>
    <w:multiLevelType w:val="hybridMultilevel"/>
    <w:tmpl w:val="98B4E1DA"/>
    <w:lvl w:ilvl="0" w:tplc="04090001">
      <w:start w:val="1"/>
      <w:numFmt w:val="bullet"/>
      <w:lvlText w:val=""/>
      <w:lvlJc w:val="left"/>
      <w:pPr>
        <w:tabs>
          <w:tab w:val="num" w:pos="780"/>
        </w:tabs>
        <w:ind w:left="780" w:hanging="360"/>
      </w:pPr>
      <w:rPr>
        <w:rFonts w:ascii="Symbol" w:hAnsi="Symbol" w:cs="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
    <w:nsid w:val="0F585392"/>
    <w:multiLevelType w:val="hybridMultilevel"/>
    <w:tmpl w:val="784A4168"/>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nsid w:val="16D060FA"/>
    <w:multiLevelType w:val="hybridMultilevel"/>
    <w:tmpl w:val="7D9EADF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4FD4211"/>
    <w:multiLevelType w:val="multilevel"/>
    <w:tmpl w:val="98D807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AD14C76"/>
    <w:multiLevelType w:val="hybridMultilevel"/>
    <w:tmpl w:val="33E2AB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6603ED1"/>
    <w:multiLevelType w:val="hybridMultilevel"/>
    <w:tmpl w:val="28B895A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3CB77599"/>
    <w:multiLevelType w:val="hybridMultilevel"/>
    <w:tmpl w:val="8660836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61930306"/>
    <w:multiLevelType w:val="multilevel"/>
    <w:tmpl w:val="725CD0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5"/>
  </w:num>
  <w:num w:numId="3">
    <w:abstractNumId w:val="4"/>
  </w:num>
  <w:num w:numId="4">
    <w:abstractNumId w:val="6"/>
  </w:num>
  <w:num w:numId="5">
    <w:abstractNumId w:val="2"/>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11233A"/>
    <w:rsid w:val="00002199"/>
    <w:rsid w:val="00016B6D"/>
    <w:rsid w:val="000230E1"/>
    <w:rsid w:val="00031A01"/>
    <w:rsid w:val="000361E1"/>
    <w:rsid w:val="00042E7F"/>
    <w:rsid w:val="00052241"/>
    <w:rsid w:val="00052688"/>
    <w:rsid w:val="00053C59"/>
    <w:rsid w:val="0005683F"/>
    <w:rsid w:val="000663BB"/>
    <w:rsid w:val="0006719C"/>
    <w:rsid w:val="0007259E"/>
    <w:rsid w:val="00080D36"/>
    <w:rsid w:val="00095AF5"/>
    <w:rsid w:val="00096D9E"/>
    <w:rsid w:val="000C53BA"/>
    <w:rsid w:val="000D1567"/>
    <w:rsid w:val="000E3906"/>
    <w:rsid w:val="000E492E"/>
    <w:rsid w:val="000E563E"/>
    <w:rsid w:val="000E6898"/>
    <w:rsid w:val="000F236C"/>
    <w:rsid w:val="001065BD"/>
    <w:rsid w:val="0011233A"/>
    <w:rsid w:val="00120071"/>
    <w:rsid w:val="00125C3B"/>
    <w:rsid w:val="00126C8A"/>
    <w:rsid w:val="001303D5"/>
    <w:rsid w:val="00132D6E"/>
    <w:rsid w:val="00133D5B"/>
    <w:rsid w:val="0013507F"/>
    <w:rsid w:val="001726EC"/>
    <w:rsid w:val="00182968"/>
    <w:rsid w:val="00184FC0"/>
    <w:rsid w:val="00190614"/>
    <w:rsid w:val="001A6EFC"/>
    <w:rsid w:val="001A7705"/>
    <w:rsid w:val="001C3C1E"/>
    <w:rsid w:val="001D5F39"/>
    <w:rsid w:val="001D6100"/>
    <w:rsid w:val="001D7DEA"/>
    <w:rsid w:val="001E372A"/>
    <w:rsid w:val="001E7ADB"/>
    <w:rsid w:val="001F44DC"/>
    <w:rsid w:val="002020F0"/>
    <w:rsid w:val="0020509E"/>
    <w:rsid w:val="002100C4"/>
    <w:rsid w:val="0021502B"/>
    <w:rsid w:val="00221AFC"/>
    <w:rsid w:val="002232EA"/>
    <w:rsid w:val="0022699E"/>
    <w:rsid w:val="00227FD3"/>
    <w:rsid w:val="002309EE"/>
    <w:rsid w:val="002444B9"/>
    <w:rsid w:val="00255785"/>
    <w:rsid w:val="00256A47"/>
    <w:rsid w:val="00256C06"/>
    <w:rsid w:val="002655F8"/>
    <w:rsid w:val="00270D83"/>
    <w:rsid w:val="00271BA4"/>
    <w:rsid w:val="00273D20"/>
    <w:rsid w:val="002765AE"/>
    <w:rsid w:val="002819E9"/>
    <w:rsid w:val="0028291F"/>
    <w:rsid w:val="00295D82"/>
    <w:rsid w:val="002962D1"/>
    <w:rsid w:val="002976D4"/>
    <w:rsid w:val="002A2EC0"/>
    <w:rsid w:val="002B06FA"/>
    <w:rsid w:val="002B1969"/>
    <w:rsid w:val="002D4756"/>
    <w:rsid w:val="002D4889"/>
    <w:rsid w:val="002F5FF0"/>
    <w:rsid w:val="00311463"/>
    <w:rsid w:val="00313250"/>
    <w:rsid w:val="003211EF"/>
    <w:rsid w:val="003219B0"/>
    <w:rsid w:val="00327548"/>
    <w:rsid w:val="003314A5"/>
    <w:rsid w:val="0033176F"/>
    <w:rsid w:val="003342D7"/>
    <w:rsid w:val="00336441"/>
    <w:rsid w:val="00337B57"/>
    <w:rsid w:val="0035169D"/>
    <w:rsid w:val="00354C1F"/>
    <w:rsid w:val="00354FD1"/>
    <w:rsid w:val="003724BE"/>
    <w:rsid w:val="00380E06"/>
    <w:rsid w:val="00385F44"/>
    <w:rsid w:val="00394204"/>
    <w:rsid w:val="003B3D00"/>
    <w:rsid w:val="003C26C7"/>
    <w:rsid w:val="003C57D3"/>
    <w:rsid w:val="003D0EB3"/>
    <w:rsid w:val="003E03D8"/>
    <w:rsid w:val="003E3841"/>
    <w:rsid w:val="003E3A3F"/>
    <w:rsid w:val="003E4E60"/>
    <w:rsid w:val="003E7C09"/>
    <w:rsid w:val="003F3CA1"/>
    <w:rsid w:val="004032F7"/>
    <w:rsid w:val="00417253"/>
    <w:rsid w:val="00433338"/>
    <w:rsid w:val="0045108E"/>
    <w:rsid w:val="00466279"/>
    <w:rsid w:val="0048300C"/>
    <w:rsid w:val="004832D3"/>
    <w:rsid w:val="004833D8"/>
    <w:rsid w:val="004908B1"/>
    <w:rsid w:val="00492AA6"/>
    <w:rsid w:val="004A50D6"/>
    <w:rsid w:val="004A778B"/>
    <w:rsid w:val="004B0891"/>
    <w:rsid w:val="004B4036"/>
    <w:rsid w:val="004B4E1B"/>
    <w:rsid w:val="004B599E"/>
    <w:rsid w:val="004B6251"/>
    <w:rsid w:val="004C0827"/>
    <w:rsid w:val="004D31D6"/>
    <w:rsid w:val="004D6877"/>
    <w:rsid w:val="004E67C4"/>
    <w:rsid w:val="004F2B52"/>
    <w:rsid w:val="0050641C"/>
    <w:rsid w:val="00522EF6"/>
    <w:rsid w:val="005262F4"/>
    <w:rsid w:val="00526C77"/>
    <w:rsid w:val="00530998"/>
    <w:rsid w:val="0053687C"/>
    <w:rsid w:val="00546016"/>
    <w:rsid w:val="00546387"/>
    <w:rsid w:val="00550E7F"/>
    <w:rsid w:val="00554857"/>
    <w:rsid w:val="005953BC"/>
    <w:rsid w:val="005C6859"/>
    <w:rsid w:val="005C798C"/>
    <w:rsid w:val="005D070F"/>
    <w:rsid w:val="005D0D40"/>
    <w:rsid w:val="005E3488"/>
    <w:rsid w:val="005F5B0A"/>
    <w:rsid w:val="00607CC6"/>
    <w:rsid w:val="00616642"/>
    <w:rsid w:val="006261EC"/>
    <w:rsid w:val="00637CC9"/>
    <w:rsid w:val="00642D8B"/>
    <w:rsid w:val="006563B5"/>
    <w:rsid w:val="006615FA"/>
    <w:rsid w:val="00665D3A"/>
    <w:rsid w:val="0068134F"/>
    <w:rsid w:val="006860F2"/>
    <w:rsid w:val="00693BC7"/>
    <w:rsid w:val="006A03B4"/>
    <w:rsid w:val="006A0C93"/>
    <w:rsid w:val="006A33FC"/>
    <w:rsid w:val="006B3F94"/>
    <w:rsid w:val="006D4DF3"/>
    <w:rsid w:val="006E15DC"/>
    <w:rsid w:val="006E307A"/>
    <w:rsid w:val="006F1B8C"/>
    <w:rsid w:val="006F3C91"/>
    <w:rsid w:val="007022C5"/>
    <w:rsid w:val="00713182"/>
    <w:rsid w:val="0071693E"/>
    <w:rsid w:val="00752E79"/>
    <w:rsid w:val="00752EDA"/>
    <w:rsid w:val="00756F73"/>
    <w:rsid w:val="007640FF"/>
    <w:rsid w:val="00767633"/>
    <w:rsid w:val="00770F4B"/>
    <w:rsid w:val="00775414"/>
    <w:rsid w:val="00775D16"/>
    <w:rsid w:val="00777814"/>
    <w:rsid w:val="00780176"/>
    <w:rsid w:val="00780694"/>
    <w:rsid w:val="007959ED"/>
    <w:rsid w:val="007A39C7"/>
    <w:rsid w:val="007B0E7D"/>
    <w:rsid w:val="007B332C"/>
    <w:rsid w:val="007C136F"/>
    <w:rsid w:val="007C37D2"/>
    <w:rsid w:val="007D3EE3"/>
    <w:rsid w:val="007D7628"/>
    <w:rsid w:val="007E3B10"/>
    <w:rsid w:val="007E3D02"/>
    <w:rsid w:val="007E5265"/>
    <w:rsid w:val="007E6395"/>
    <w:rsid w:val="007E7DD4"/>
    <w:rsid w:val="007F07D8"/>
    <w:rsid w:val="00810F87"/>
    <w:rsid w:val="008122EB"/>
    <w:rsid w:val="00815221"/>
    <w:rsid w:val="0083003F"/>
    <w:rsid w:val="008303CD"/>
    <w:rsid w:val="00837BA2"/>
    <w:rsid w:val="00845FC5"/>
    <w:rsid w:val="0085329E"/>
    <w:rsid w:val="00854AEC"/>
    <w:rsid w:val="00860CC4"/>
    <w:rsid w:val="008645ED"/>
    <w:rsid w:val="00872899"/>
    <w:rsid w:val="00881078"/>
    <w:rsid w:val="0088183B"/>
    <w:rsid w:val="0088408B"/>
    <w:rsid w:val="00890F49"/>
    <w:rsid w:val="008A3C63"/>
    <w:rsid w:val="008B3062"/>
    <w:rsid w:val="008C1B7B"/>
    <w:rsid w:val="008C641C"/>
    <w:rsid w:val="008D3E10"/>
    <w:rsid w:val="008E2726"/>
    <w:rsid w:val="008E3E0A"/>
    <w:rsid w:val="008F4D74"/>
    <w:rsid w:val="00903579"/>
    <w:rsid w:val="00910D9D"/>
    <w:rsid w:val="00916A10"/>
    <w:rsid w:val="00920271"/>
    <w:rsid w:val="00927627"/>
    <w:rsid w:val="0094305B"/>
    <w:rsid w:val="009519E3"/>
    <w:rsid w:val="00960A87"/>
    <w:rsid w:val="00967D4E"/>
    <w:rsid w:val="009733C6"/>
    <w:rsid w:val="00974716"/>
    <w:rsid w:val="0098335B"/>
    <w:rsid w:val="00994F9A"/>
    <w:rsid w:val="009B011E"/>
    <w:rsid w:val="009B58B1"/>
    <w:rsid w:val="009B602A"/>
    <w:rsid w:val="009D59BD"/>
    <w:rsid w:val="009E2CA5"/>
    <w:rsid w:val="009E4DD6"/>
    <w:rsid w:val="009E5133"/>
    <w:rsid w:val="009F4930"/>
    <w:rsid w:val="009F61B8"/>
    <w:rsid w:val="00A00CB4"/>
    <w:rsid w:val="00A015BE"/>
    <w:rsid w:val="00A02F5E"/>
    <w:rsid w:val="00A05E5F"/>
    <w:rsid w:val="00A2705A"/>
    <w:rsid w:val="00A36654"/>
    <w:rsid w:val="00A44C65"/>
    <w:rsid w:val="00A55FEE"/>
    <w:rsid w:val="00A60DEE"/>
    <w:rsid w:val="00A82CFB"/>
    <w:rsid w:val="00A85971"/>
    <w:rsid w:val="00A900C4"/>
    <w:rsid w:val="00AA3DB5"/>
    <w:rsid w:val="00AA6E03"/>
    <w:rsid w:val="00AA7037"/>
    <w:rsid w:val="00AB0FBD"/>
    <w:rsid w:val="00AB1EC4"/>
    <w:rsid w:val="00AB3A5C"/>
    <w:rsid w:val="00AD2518"/>
    <w:rsid w:val="00AE391E"/>
    <w:rsid w:val="00AE6BA1"/>
    <w:rsid w:val="00AF103A"/>
    <w:rsid w:val="00B23109"/>
    <w:rsid w:val="00B266B2"/>
    <w:rsid w:val="00B27C73"/>
    <w:rsid w:val="00B27CD9"/>
    <w:rsid w:val="00B374F8"/>
    <w:rsid w:val="00B46CE8"/>
    <w:rsid w:val="00B542F8"/>
    <w:rsid w:val="00B61010"/>
    <w:rsid w:val="00B66568"/>
    <w:rsid w:val="00B93A40"/>
    <w:rsid w:val="00B96EA5"/>
    <w:rsid w:val="00BA2BBC"/>
    <w:rsid w:val="00BA4B01"/>
    <w:rsid w:val="00BB0FD4"/>
    <w:rsid w:val="00BB64A9"/>
    <w:rsid w:val="00BC3C24"/>
    <w:rsid w:val="00BD2A48"/>
    <w:rsid w:val="00BD4D14"/>
    <w:rsid w:val="00BF7633"/>
    <w:rsid w:val="00BF7FC9"/>
    <w:rsid w:val="00C010CC"/>
    <w:rsid w:val="00C13FFD"/>
    <w:rsid w:val="00C403EE"/>
    <w:rsid w:val="00C53C46"/>
    <w:rsid w:val="00C62555"/>
    <w:rsid w:val="00C648BC"/>
    <w:rsid w:val="00C71638"/>
    <w:rsid w:val="00C71D0E"/>
    <w:rsid w:val="00C73DF6"/>
    <w:rsid w:val="00C76F0C"/>
    <w:rsid w:val="00C80DC3"/>
    <w:rsid w:val="00C87D35"/>
    <w:rsid w:val="00C940A5"/>
    <w:rsid w:val="00CA29F5"/>
    <w:rsid w:val="00CA4A67"/>
    <w:rsid w:val="00CA7F4C"/>
    <w:rsid w:val="00CB1871"/>
    <w:rsid w:val="00CC174D"/>
    <w:rsid w:val="00CD6003"/>
    <w:rsid w:val="00CD6996"/>
    <w:rsid w:val="00D17771"/>
    <w:rsid w:val="00D2747C"/>
    <w:rsid w:val="00D27AA1"/>
    <w:rsid w:val="00D30DE0"/>
    <w:rsid w:val="00D37F4A"/>
    <w:rsid w:val="00D40643"/>
    <w:rsid w:val="00D47AAE"/>
    <w:rsid w:val="00D57A43"/>
    <w:rsid w:val="00D707E5"/>
    <w:rsid w:val="00D72073"/>
    <w:rsid w:val="00D73281"/>
    <w:rsid w:val="00D918B8"/>
    <w:rsid w:val="00D9407B"/>
    <w:rsid w:val="00D97EE0"/>
    <w:rsid w:val="00DA1D0A"/>
    <w:rsid w:val="00DA4286"/>
    <w:rsid w:val="00DB0E20"/>
    <w:rsid w:val="00DB1F33"/>
    <w:rsid w:val="00DB6F31"/>
    <w:rsid w:val="00DD0D32"/>
    <w:rsid w:val="00DD5EED"/>
    <w:rsid w:val="00DD7345"/>
    <w:rsid w:val="00DD7AC4"/>
    <w:rsid w:val="00DE79ED"/>
    <w:rsid w:val="00DF0BE6"/>
    <w:rsid w:val="00E05847"/>
    <w:rsid w:val="00E05D94"/>
    <w:rsid w:val="00E0705E"/>
    <w:rsid w:val="00E12AD4"/>
    <w:rsid w:val="00E13B49"/>
    <w:rsid w:val="00E357B0"/>
    <w:rsid w:val="00E3682A"/>
    <w:rsid w:val="00E3726A"/>
    <w:rsid w:val="00E42AFC"/>
    <w:rsid w:val="00E43383"/>
    <w:rsid w:val="00E44B97"/>
    <w:rsid w:val="00E46E16"/>
    <w:rsid w:val="00E47D9D"/>
    <w:rsid w:val="00E51B2A"/>
    <w:rsid w:val="00E56FDF"/>
    <w:rsid w:val="00E65A38"/>
    <w:rsid w:val="00E70127"/>
    <w:rsid w:val="00E74155"/>
    <w:rsid w:val="00E7464A"/>
    <w:rsid w:val="00E755A7"/>
    <w:rsid w:val="00EA020A"/>
    <w:rsid w:val="00EA0219"/>
    <w:rsid w:val="00EA27FF"/>
    <w:rsid w:val="00EE4FAE"/>
    <w:rsid w:val="00EF057C"/>
    <w:rsid w:val="00EF741C"/>
    <w:rsid w:val="00EF75F7"/>
    <w:rsid w:val="00EF7D4E"/>
    <w:rsid w:val="00F03E02"/>
    <w:rsid w:val="00F1046C"/>
    <w:rsid w:val="00F147FC"/>
    <w:rsid w:val="00F162CD"/>
    <w:rsid w:val="00F17426"/>
    <w:rsid w:val="00F25932"/>
    <w:rsid w:val="00F25D0D"/>
    <w:rsid w:val="00F27989"/>
    <w:rsid w:val="00F327FF"/>
    <w:rsid w:val="00F35FF2"/>
    <w:rsid w:val="00F5733E"/>
    <w:rsid w:val="00F7319B"/>
    <w:rsid w:val="00F74FF7"/>
    <w:rsid w:val="00F7761D"/>
    <w:rsid w:val="00F843B3"/>
    <w:rsid w:val="00F9071D"/>
    <w:rsid w:val="00F97127"/>
    <w:rsid w:val="00FA3D08"/>
    <w:rsid w:val="00FA4B56"/>
    <w:rsid w:val="00FB21EA"/>
    <w:rsid w:val="00FB4B19"/>
    <w:rsid w:val="00FB5849"/>
    <w:rsid w:val="00FB79A9"/>
    <w:rsid w:val="00FC043F"/>
    <w:rsid w:val="00FC16D1"/>
    <w:rsid w:val="00FC3A74"/>
    <w:rsid w:val="00FC5E29"/>
    <w:rsid w:val="00FD1AC2"/>
    <w:rsid w:val="00FD5C85"/>
    <w:rsid w:val="00FD602E"/>
    <w:rsid w:val="00FE0D74"/>
    <w:rsid w:val="00FE1586"/>
    <w:rsid w:val="00FE7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4A"/>
    <w:rPr>
      <w:sz w:val="24"/>
      <w:szCs w:val="24"/>
    </w:rPr>
  </w:style>
  <w:style w:type="paragraph" w:styleId="Heading4">
    <w:name w:val="heading 4"/>
    <w:basedOn w:val="Normal"/>
    <w:next w:val="Normal"/>
    <w:link w:val="Heading4Char"/>
    <w:uiPriority w:val="99"/>
    <w:qFormat/>
    <w:rsid w:val="0050641C"/>
    <w:pPr>
      <w:keepNext/>
      <w:autoSpaceDE w:val="0"/>
      <w:autoSpaceDN w:val="0"/>
      <w:adjustRightInd w:val="0"/>
      <w:outlineLvl w:val="3"/>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053C59"/>
    <w:rPr>
      <w:rFonts w:ascii="Calibri" w:hAnsi="Calibri" w:cs="Calibri"/>
      <w:b/>
      <w:bCs/>
      <w:sz w:val="28"/>
      <w:szCs w:val="28"/>
    </w:rPr>
  </w:style>
  <w:style w:type="character" w:styleId="Hyperlink">
    <w:name w:val="Hyperlink"/>
    <w:basedOn w:val="DefaultParagraphFont"/>
    <w:uiPriority w:val="99"/>
    <w:rsid w:val="0011233A"/>
    <w:rPr>
      <w:color w:val="0000FF"/>
      <w:u w:val="single"/>
    </w:rPr>
  </w:style>
  <w:style w:type="paragraph" w:styleId="BalloonText">
    <w:name w:val="Balloon Text"/>
    <w:basedOn w:val="Normal"/>
    <w:link w:val="BalloonTextChar"/>
    <w:uiPriority w:val="99"/>
    <w:semiHidden/>
    <w:rsid w:val="006A33FC"/>
    <w:rPr>
      <w:rFonts w:ascii="Tahoma" w:hAnsi="Tahoma" w:cs="Tahoma"/>
      <w:sz w:val="16"/>
      <w:szCs w:val="16"/>
    </w:rPr>
  </w:style>
  <w:style w:type="character" w:customStyle="1" w:styleId="BalloonTextChar">
    <w:name w:val="Balloon Text Char"/>
    <w:basedOn w:val="DefaultParagraphFont"/>
    <w:link w:val="BalloonText"/>
    <w:uiPriority w:val="99"/>
    <w:semiHidden/>
    <w:rsid w:val="00053C59"/>
    <w:rPr>
      <w:sz w:val="2"/>
      <w:szCs w:val="2"/>
    </w:rPr>
  </w:style>
  <w:style w:type="paragraph" w:styleId="FootnoteText">
    <w:name w:val="footnote text"/>
    <w:basedOn w:val="Normal"/>
    <w:link w:val="FootnoteTextChar"/>
    <w:uiPriority w:val="99"/>
    <w:semiHidden/>
    <w:rsid w:val="00E12AD4"/>
    <w:rPr>
      <w:sz w:val="20"/>
      <w:szCs w:val="20"/>
    </w:rPr>
  </w:style>
  <w:style w:type="character" w:customStyle="1" w:styleId="FootnoteTextChar">
    <w:name w:val="Footnote Text Char"/>
    <w:basedOn w:val="DefaultParagraphFont"/>
    <w:link w:val="FootnoteText"/>
    <w:uiPriority w:val="99"/>
    <w:semiHidden/>
    <w:rsid w:val="00053C59"/>
    <w:rPr>
      <w:sz w:val="20"/>
      <w:szCs w:val="20"/>
    </w:rPr>
  </w:style>
  <w:style w:type="character" w:styleId="FootnoteReference">
    <w:name w:val="footnote reference"/>
    <w:basedOn w:val="DefaultParagraphFont"/>
    <w:uiPriority w:val="99"/>
    <w:semiHidden/>
    <w:rsid w:val="00E12AD4"/>
    <w:rPr>
      <w:vertAlign w:val="superscript"/>
    </w:rPr>
  </w:style>
  <w:style w:type="paragraph" w:styleId="BodyTextIndent2">
    <w:name w:val="Body Text Indent 2"/>
    <w:basedOn w:val="Normal"/>
    <w:link w:val="BodyTextIndent2Char"/>
    <w:uiPriority w:val="99"/>
    <w:rsid w:val="00C76F0C"/>
    <w:pPr>
      <w:widowControl w:val="0"/>
      <w:autoSpaceDE w:val="0"/>
      <w:autoSpaceDN w:val="0"/>
      <w:ind w:left="720"/>
    </w:pPr>
    <w:rPr>
      <w:sz w:val="20"/>
      <w:szCs w:val="20"/>
    </w:rPr>
  </w:style>
  <w:style w:type="character" w:customStyle="1" w:styleId="BodyTextIndent2Char">
    <w:name w:val="Body Text Indent 2 Char"/>
    <w:basedOn w:val="DefaultParagraphFont"/>
    <w:link w:val="BodyTextIndent2"/>
    <w:uiPriority w:val="99"/>
    <w:semiHidden/>
    <w:rsid w:val="00053C59"/>
    <w:rPr>
      <w:sz w:val="24"/>
      <w:szCs w:val="24"/>
    </w:rPr>
  </w:style>
  <w:style w:type="paragraph" w:styleId="BodyTextIndent3">
    <w:name w:val="Body Text Indent 3"/>
    <w:basedOn w:val="Normal"/>
    <w:link w:val="BodyTextIndent3Char"/>
    <w:uiPriority w:val="99"/>
    <w:rsid w:val="00B542F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53C59"/>
    <w:rPr>
      <w:sz w:val="16"/>
      <w:szCs w:val="16"/>
    </w:rPr>
  </w:style>
  <w:style w:type="paragraph" w:styleId="DocumentMap">
    <w:name w:val="Document Map"/>
    <w:basedOn w:val="Normal"/>
    <w:link w:val="DocumentMapChar"/>
    <w:uiPriority w:val="99"/>
    <w:semiHidden/>
    <w:rsid w:val="0019061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53C59"/>
    <w:rPr>
      <w:sz w:val="2"/>
      <w:szCs w:val="2"/>
    </w:rPr>
  </w:style>
  <w:style w:type="paragraph" w:customStyle="1" w:styleId="Default">
    <w:name w:val="Default"/>
    <w:uiPriority w:val="99"/>
    <w:rsid w:val="00E05847"/>
    <w:pPr>
      <w:autoSpaceDE w:val="0"/>
      <w:autoSpaceDN w:val="0"/>
      <w:adjustRightInd w:val="0"/>
    </w:pPr>
    <w:rPr>
      <w:rFonts w:ascii="Arial" w:hAnsi="Arial" w:cs="Arial"/>
      <w:color w:val="000000"/>
      <w:sz w:val="24"/>
      <w:szCs w:val="24"/>
    </w:rPr>
  </w:style>
  <w:style w:type="paragraph" w:customStyle="1" w:styleId="Default1">
    <w:name w:val="Default1"/>
    <w:basedOn w:val="Default"/>
    <w:next w:val="Default"/>
    <w:uiPriority w:val="99"/>
    <w:rsid w:val="00E05847"/>
    <w:rPr>
      <w:color w:val="auto"/>
    </w:rPr>
  </w:style>
  <w:style w:type="table" w:styleId="TableGrid">
    <w:name w:val="Table Grid"/>
    <w:basedOn w:val="TableNormal"/>
    <w:uiPriority w:val="99"/>
    <w:rsid w:val="004D687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A900C4"/>
    <w:rPr>
      <w:sz w:val="18"/>
      <w:szCs w:val="18"/>
    </w:rPr>
  </w:style>
  <w:style w:type="paragraph" w:styleId="CommentText">
    <w:name w:val="annotation text"/>
    <w:basedOn w:val="Normal"/>
    <w:link w:val="CommentTextChar"/>
    <w:uiPriority w:val="99"/>
    <w:semiHidden/>
    <w:rsid w:val="00A900C4"/>
  </w:style>
  <w:style w:type="character" w:customStyle="1" w:styleId="CommentTextChar">
    <w:name w:val="Comment Text Char"/>
    <w:basedOn w:val="DefaultParagraphFont"/>
    <w:link w:val="CommentText"/>
    <w:uiPriority w:val="99"/>
    <w:semiHidden/>
    <w:rsid w:val="00A900C4"/>
    <w:rPr>
      <w:sz w:val="24"/>
      <w:szCs w:val="24"/>
    </w:rPr>
  </w:style>
  <w:style w:type="paragraph" w:styleId="CommentSubject">
    <w:name w:val="annotation subject"/>
    <w:basedOn w:val="CommentText"/>
    <w:next w:val="CommentText"/>
    <w:link w:val="CommentSubjectChar"/>
    <w:uiPriority w:val="99"/>
    <w:semiHidden/>
    <w:rsid w:val="00A900C4"/>
    <w:rPr>
      <w:b/>
      <w:bCs/>
      <w:sz w:val="20"/>
      <w:szCs w:val="20"/>
    </w:rPr>
  </w:style>
  <w:style w:type="character" w:customStyle="1" w:styleId="CommentSubjectChar">
    <w:name w:val="Comment Subject Char"/>
    <w:basedOn w:val="CommentTextChar"/>
    <w:link w:val="CommentSubject"/>
    <w:uiPriority w:val="99"/>
    <w:semiHidden/>
    <w:rsid w:val="00A900C4"/>
    <w:rPr>
      <w:b/>
      <w:bCs/>
      <w:sz w:val="20"/>
      <w:szCs w:val="20"/>
    </w:rPr>
  </w:style>
  <w:style w:type="paragraph" w:styleId="Revision">
    <w:name w:val="Revision"/>
    <w:hidden/>
    <w:uiPriority w:val="99"/>
    <w:semiHidden/>
    <w:rsid w:val="0088408B"/>
    <w:rPr>
      <w:sz w:val="24"/>
      <w:szCs w:val="24"/>
    </w:rPr>
  </w:style>
  <w:style w:type="paragraph" w:styleId="Header">
    <w:name w:val="header"/>
    <w:basedOn w:val="Normal"/>
    <w:link w:val="HeaderChar"/>
    <w:uiPriority w:val="99"/>
    <w:semiHidden/>
    <w:unhideWhenUsed/>
    <w:rsid w:val="009733C6"/>
    <w:pPr>
      <w:tabs>
        <w:tab w:val="center" w:pos="4680"/>
        <w:tab w:val="right" w:pos="9360"/>
      </w:tabs>
    </w:pPr>
  </w:style>
  <w:style w:type="character" w:customStyle="1" w:styleId="HeaderChar">
    <w:name w:val="Header Char"/>
    <w:basedOn w:val="DefaultParagraphFont"/>
    <w:link w:val="Header"/>
    <w:uiPriority w:val="99"/>
    <w:semiHidden/>
    <w:rsid w:val="009733C6"/>
    <w:rPr>
      <w:sz w:val="24"/>
      <w:szCs w:val="24"/>
    </w:rPr>
  </w:style>
  <w:style w:type="paragraph" w:styleId="Footer">
    <w:name w:val="footer"/>
    <w:basedOn w:val="Normal"/>
    <w:link w:val="FooterChar"/>
    <w:uiPriority w:val="99"/>
    <w:unhideWhenUsed/>
    <w:rsid w:val="009733C6"/>
    <w:pPr>
      <w:tabs>
        <w:tab w:val="center" w:pos="4680"/>
        <w:tab w:val="right" w:pos="9360"/>
      </w:tabs>
    </w:pPr>
  </w:style>
  <w:style w:type="character" w:customStyle="1" w:styleId="FooterChar">
    <w:name w:val="Footer Char"/>
    <w:basedOn w:val="DefaultParagraphFont"/>
    <w:link w:val="Footer"/>
    <w:uiPriority w:val="99"/>
    <w:rsid w:val="009733C6"/>
    <w:rPr>
      <w:sz w:val="24"/>
      <w:szCs w:val="24"/>
    </w:rPr>
  </w:style>
</w:styles>
</file>

<file path=word/webSettings.xml><?xml version="1.0" encoding="utf-8"?>
<w:webSettings xmlns:r="http://schemas.openxmlformats.org/officeDocument/2006/relationships" xmlns:w="http://schemas.openxmlformats.org/wordprocessingml/2006/main">
  <w:divs>
    <w:div w:id="695081795">
      <w:marLeft w:val="0"/>
      <w:marRight w:val="0"/>
      <w:marTop w:val="0"/>
      <w:marBottom w:val="0"/>
      <w:divBdr>
        <w:top w:val="none" w:sz="0" w:space="0" w:color="auto"/>
        <w:left w:val="none" w:sz="0" w:space="0" w:color="auto"/>
        <w:bottom w:val="none" w:sz="0" w:space="0" w:color="auto"/>
        <w:right w:val="none" w:sz="0" w:space="0" w:color="auto"/>
      </w:divBdr>
    </w:div>
    <w:div w:id="695081796">
      <w:marLeft w:val="0"/>
      <w:marRight w:val="0"/>
      <w:marTop w:val="0"/>
      <w:marBottom w:val="0"/>
      <w:divBdr>
        <w:top w:val="none" w:sz="0" w:space="0" w:color="auto"/>
        <w:left w:val="none" w:sz="0" w:space="0" w:color="auto"/>
        <w:bottom w:val="none" w:sz="0" w:space="0" w:color="auto"/>
        <w:right w:val="none" w:sz="0" w:space="0" w:color="auto"/>
      </w:divBdr>
    </w:div>
    <w:div w:id="695081797">
      <w:marLeft w:val="0"/>
      <w:marRight w:val="0"/>
      <w:marTop w:val="0"/>
      <w:marBottom w:val="0"/>
      <w:divBdr>
        <w:top w:val="none" w:sz="0" w:space="0" w:color="auto"/>
        <w:left w:val="none" w:sz="0" w:space="0" w:color="auto"/>
        <w:bottom w:val="none" w:sz="0" w:space="0" w:color="auto"/>
        <w:right w:val="none" w:sz="0" w:space="0" w:color="auto"/>
      </w:divBdr>
    </w:div>
    <w:div w:id="695081800">
      <w:marLeft w:val="0"/>
      <w:marRight w:val="0"/>
      <w:marTop w:val="0"/>
      <w:marBottom w:val="0"/>
      <w:divBdr>
        <w:top w:val="none" w:sz="0" w:space="0" w:color="auto"/>
        <w:left w:val="none" w:sz="0" w:space="0" w:color="auto"/>
        <w:bottom w:val="none" w:sz="0" w:space="0" w:color="auto"/>
        <w:right w:val="none" w:sz="0" w:space="0" w:color="auto"/>
      </w:divBdr>
    </w:div>
    <w:div w:id="695081801">
      <w:marLeft w:val="0"/>
      <w:marRight w:val="0"/>
      <w:marTop w:val="0"/>
      <w:marBottom w:val="0"/>
      <w:divBdr>
        <w:top w:val="none" w:sz="0" w:space="0" w:color="auto"/>
        <w:left w:val="none" w:sz="0" w:space="0" w:color="auto"/>
        <w:bottom w:val="none" w:sz="0" w:space="0" w:color="auto"/>
        <w:right w:val="none" w:sz="0" w:space="0" w:color="auto"/>
      </w:divBdr>
    </w:div>
    <w:div w:id="695081802">
      <w:marLeft w:val="0"/>
      <w:marRight w:val="0"/>
      <w:marTop w:val="0"/>
      <w:marBottom w:val="0"/>
      <w:divBdr>
        <w:top w:val="none" w:sz="0" w:space="0" w:color="auto"/>
        <w:left w:val="none" w:sz="0" w:space="0" w:color="auto"/>
        <w:bottom w:val="none" w:sz="0" w:space="0" w:color="auto"/>
        <w:right w:val="none" w:sz="0" w:space="0" w:color="auto"/>
      </w:divBdr>
    </w:div>
    <w:div w:id="695081803">
      <w:marLeft w:val="0"/>
      <w:marRight w:val="0"/>
      <w:marTop w:val="0"/>
      <w:marBottom w:val="0"/>
      <w:divBdr>
        <w:top w:val="none" w:sz="0" w:space="0" w:color="auto"/>
        <w:left w:val="none" w:sz="0" w:space="0" w:color="auto"/>
        <w:bottom w:val="none" w:sz="0" w:space="0" w:color="auto"/>
        <w:right w:val="none" w:sz="0" w:space="0" w:color="auto"/>
      </w:divBdr>
    </w:div>
    <w:div w:id="695081804">
      <w:marLeft w:val="0"/>
      <w:marRight w:val="0"/>
      <w:marTop w:val="0"/>
      <w:marBottom w:val="0"/>
      <w:divBdr>
        <w:top w:val="none" w:sz="0" w:space="0" w:color="auto"/>
        <w:left w:val="none" w:sz="0" w:space="0" w:color="auto"/>
        <w:bottom w:val="none" w:sz="0" w:space="0" w:color="auto"/>
        <w:right w:val="none" w:sz="0" w:space="0" w:color="auto"/>
      </w:divBdr>
    </w:div>
    <w:div w:id="695081806">
      <w:marLeft w:val="0"/>
      <w:marRight w:val="0"/>
      <w:marTop w:val="0"/>
      <w:marBottom w:val="0"/>
      <w:divBdr>
        <w:top w:val="none" w:sz="0" w:space="0" w:color="auto"/>
        <w:left w:val="none" w:sz="0" w:space="0" w:color="auto"/>
        <w:bottom w:val="none" w:sz="0" w:space="0" w:color="auto"/>
        <w:right w:val="none" w:sz="0" w:space="0" w:color="auto"/>
      </w:divBdr>
      <w:divsChild>
        <w:div w:id="695081798">
          <w:marLeft w:val="0"/>
          <w:marRight w:val="0"/>
          <w:marTop w:val="0"/>
          <w:marBottom w:val="0"/>
          <w:divBdr>
            <w:top w:val="none" w:sz="0" w:space="0" w:color="auto"/>
            <w:left w:val="none" w:sz="0" w:space="0" w:color="auto"/>
            <w:bottom w:val="none" w:sz="0" w:space="0" w:color="auto"/>
            <w:right w:val="none" w:sz="0" w:space="0" w:color="auto"/>
          </w:divBdr>
        </w:div>
        <w:div w:id="695081807">
          <w:marLeft w:val="0"/>
          <w:marRight w:val="0"/>
          <w:marTop w:val="0"/>
          <w:marBottom w:val="0"/>
          <w:divBdr>
            <w:top w:val="none" w:sz="0" w:space="0" w:color="auto"/>
            <w:left w:val="none" w:sz="0" w:space="0" w:color="auto"/>
            <w:bottom w:val="none" w:sz="0" w:space="0" w:color="auto"/>
            <w:right w:val="none" w:sz="0" w:space="0" w:color="auto"/>
          </w:divBdr>
        </w:div>
      </w:divsChild>
    </w:div>
    <w:div w:id="695081808">
      <w:marLeft w:val="0"/>
      <w:marRight w:val="0"/>
      <w:marTop w:val="0"/>
      <w:marBottom w:val="0"/>
      <w:divBdr>
        <w:top w:val="none" w:sz="0" w:space="0" w:color="auto"/>
        <w:left w:val="none" w:sz="0" w:space="0" w:color="auto"/>
        <w:bottom w:val="none" w:sz="0" w:space="0" w:color="auto"/>
        <w:right w:val="none" w:sz="0" w:space="0" w:color="auto"/>
      </w:divBdr>
      <w:divsChild>
        <w:div w:id="695081799">
          <w:marLeft w:val="0"/>
          <w:marRight w:val="0"/>
          <w:marTop w:val="0"/>
          <w:marBottom w:val="0"/>
          <w:divBdr>
            <w:top w:val="none" w:sz="0" w:space="0" w:color="auto"/>
            <w:left w:val="none" w:sz="0" w:space="0" w:color="auto"/>
            <w:bottom w:val="none" w:sz="0" w:space="0" w:color="auto"/>
            <w:right w:val="none" w:sz="0" w:space="0" w:color="auto"/>
          </w:divBdr>
        </w:div>
        <w:div w:id="695081805">
          <w:marLeft w:val="0"/>
          <w:marRight w:val="0"/>
          <w:marTop w:val="0"/>
          <w:marBottom w:val="0"/>
          <w:divBdr>
            <w:top w:val="none" w:sz="0" w:space="0" w:color="auto"/>
            <w:left w:val="none" w:sz="0" w:space="0" w:color="auto"/>
            <w:bottom w:val="none" w:sz="0" w:space="0" w:color="auto"/>
            <w:right w:val="none" w:sz="0" w:space="0" w:color="auto"/>
          </w:divBdr>
        </w:div>
      </w:divsChild>
    </w:div>
    <w:div w:id="695081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derson@tnc.org" TargetMode="External"/><Relationship Id="rId13" Type="http://schemas.openxmlformats.org/officeDocument/2006/relationships/hyperlink" Target="http://woodshole.er.usgs.gov/project-pages/stellwagen/index.html.%20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king@gso.uri.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hryn.ford@state.ma.us"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jgreene@tnc.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1F58E-0049-47D0-9893-046D6258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3115</Words>
  <Characters>18986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Northeast Regional Conservation Needs Program</vt:lpstr>
    </vt:vector>
  </TitlesOfParts>
  <Company> </Company>
  <LinksUpToDate>false</LinksUpToDate>
  <CharactersWithSpaces>22057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 Regional Conservation Needs Program</dc:title>
  <dc:subject/>
  <dc:creator>lsneddon</dc:creator>
  <cp:keywords/>
  <dc:description/>
  <cp:lastModifiedBy>amilliken</cp:lastModifiedBy>
  <cp:revision>2</cp:revision>
  <cp:lastPrinted>2011-02-25T16:11:00Z</cp:lastPrinted>
  <dcterms:created xsi:type="dcterms:W3CDTF">2011-09-27T16:13:00Z</dcterms:created>
  <dcterms:modified xsi:type="dcterms:W3CDTF">2011-09-27T16:13:00Z</dcterms:modified>
</cp:coreProperties>
</file>