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98" w:rsidRPr="004F1B05" w:rsidRDefault="00DC6598" w:rsidP="00EF734A">
      <w:pPr>
        <w:rPr>
          <w:rFonts w:ascii="Times New Roman" w:hAnsi="Times New Roman"/>
          <w:b/>
        </w:rPr>
      </w:pPr>
      <w:r w:rsidRPr="004F1B05">
        <w:rPr>
          <w:rFonts w:ascii="Times New Roman" w:hAnsi="Times New Roman"/>
          <w:b/>
        </w:rPr>
        <w:t>Memorandum</w:t>
      </w:r>
    </w:p>
    <w:p w:rsidR="00DC6598" w:rsidRPr="004F1B05" w:rsidRDefault="00DC6598" w:rsidP="00EF734A">
      <w:pPr>
        <w:rPr>
          <w:rFonts w:ascii="Times New Roman" w:hAnsi="Times New Roman"/>
        </w:rPr>
      </w:pPr>
      <w:r w:rsidRPr="004F1B05">
        <w:rPr>
          <w:rFonts w:ascii="Times New Roman" w:hAnsi="Times New Roman"/>
        </w:rPr>
        <w:t>To:</w:t>
      </w:r>
      <w:r w:rsidRPr="004F1B05">
        <w:rPr>
          <w:rFonts w:ascii="Times New Roman" w:hAnsi="Times New Roman"/>
        </w:rPr>
        <w:tab/>
        <w:t>North Atlantic Landscape Conservation Cooperative Steering Committee</w:t>
      </w:r>
    </w:p>
    <w:p w:rsidR="00DC6598" w:rsidRPr="004F1B05" w:rsidRDefault="00DC6598" w:rsidP="00EF734A">
      <w:pPr>
        <w:rPr>
          <w:rFonts w:ascii="Times New Roman" w:hAnsi="Times New Roman"/>
        </w:rPr>
      </w:pPr>
      <w:r w:rsidRPr="004F1B05">
        <w:rPr>
          <w:rFonts w:ascii="Times New Roman" w:hAnsi="Times New Roman"/>
        </w:rPr>
        <w:t>From:</w:t>
      </w:r>
      <w:r w:rsidRPr="004F1B05">
        <w:rPr>
          <w:rFonts w:ascii="Times New Roman" w:hAnsi="Times New Roman"/>
        </w:rPr>
        <w:tab/>
        <w:t xml:space="preserve">Ad-Hoc Demonstration Project Subcommittee (Participants – Daley, Galbraith, Gay, Huffman, Walker, </w:t>
      </w:r>
      <w:r w:rsidR="00EF734A">
        <w:rPr>
          <w:rFonts w:ascii="Times New Roman" w:hAnsi="Times New Roman"/>
        </w:rPr>
        <w:t xml:space="preserve">Smith, Slattery, </w:t>
      </w:r>
      <w:r w:rsidRPr="004F1B05">
        <w:rPr>
          <w:rFonts w:ascii="Times New Roman" w:hAnsi="Times New Roman"/>
        </w:rPr>
        <w:t>and O’Leary /</w:t>
      </w:r>
      <w:r w:rsidR="00EF734A">
        <w:rPr>
          <w:rFonts w:ascii="Times New Roman" w:hAnsi="Times New Roman"/>
        </w:rPr>
        <w:t xml:space="preserve">/ Interested – </w:t>
      </w:r>
      <w:r w:rsidR="00C8700F" w:rsidRPr="004F1B05">
        <w:rPr>
          <w:rFonts w:ascii="Times New Roman" w:hAnsi="Times New Roman"/>
        </w:rPr>
        <w:t>Soder</w:t>
      </w:r>
      <w:r w:rsidRPr="004F1B05">
        <w:rPr>
          <w:rFonts w:ascii="Times New Roman" w:hAnsi="Times New Roman"/>
        </w:rPr>
        <w:t>)</w:t>
      </w:r>
    </w:p>
    <w:p w:rsidR="00DC6598" w:rsidRPr="004F1B05" w:rsidRDefault="00C8700F" w:rsidP="00EF734A">
      <w:pPr>
        <w:rPr>
          <w:rFonts w:ascii="Times New Roman" w:hAnsi="Times New Roman"/>
        </w:rPr>
      </w:pPr>
      <w:r>
        <w:rPr>
          <w:rFonts w:ascii="Times New Roman" w:hAnsi="Times New Roman"/>
        </w:rPr>
        <w:t>Date:</w:t>
      </w:r>
      <w:r>
        <w:rPr>
          <w:rFonts w:ascii="Times New Roman" w:hAnsi="Times New Roman"/>
        </w:rPr>
        <w:tab/>
        <w:t>4/13</w:t>
      </w:r>
      <w:r w:rsidR="00DC6598" w:rsidRPr="004F1B05">
        <w:rPr>
          <w:rFonts w:ascii="Times New Roman" w:hAnsi="Times New Roman"/>
        </w:rPr>
        <w:t xml:space="preserve">/12 </w:t>
      </w:r>
    </w:p>
    <w:p w:rsidR="00DC6598" w:rsidRPr="004F1B05" w:rsidRDefault="00DC6598" w:rsidP="00EF734A">
      <w:pPr>
        <w:rPr>
          <w:rFonts w:ascii="Times New Roman" w:hAnsi="Times New Roman"/>
        </w:rPr>
      </w:pPr>
      <w:r w:rsidRPr="004F1B05">
        <w:rPr>
          <w:rFonts w:ascii="Times New Roman" w:hAnsi="Times New Roman"/>
        </w:rPr>
        <w:t>Re:</w:t>
      </w:r>
      <w:r w:rsidRPr="004F1B05">
        <w:rPr>
          <w:rFonts w:ascii="Times New Roman" w:hAnsi="Times New Roman"/>
        </w:rPr>
        <w:tab/>
        <w:t>Demonstration Project Recommendations</w:t>
      </w:r>
    </w:p>
    <w:p w:rsidR="00DC6598" w:rsidRPr="004F1B05" w:rsidRDefault="00DC6598" w:rsidP="00EF734A">
      <w:pPr>
        <w:rPr>
          <w:rFonts w:ascii="Times New Roman" w:hAnsi="Times New Roman"/>
        </w:rPr>
      </w:pPr>
      <w:r w:rsidRPr="004F1B05">
        <w:rPr>
          <w:rFonts w:ascii="Times New Roman" w:hAnsi="Times New Roman"/>
          <w:i/>
        </w:rPr>
        <w:t>Background</w:t>
      </w:r>
      <w:r w:rsidRPr="004F1B05">
        <w:rPr>
          <w:rFonts w:ascii="Times New Roman" w:hAnsi="Times New Roman"/>
        </w:rPr>
        <w:t xml:space="preserve"> </w:t>
      </w:r>
    </w:p>
    <w:p w:rsidR="00DC6598" w:rsidRPr="004F1B05" w:rsidRDefault="00DC6598" w:rsidP="00EF734A">
      <w:pPr>
        <w:rPr>
          <w:rFonts w:ascii="Times New Roman" w:hAnsi="Times New Roman"/>
        </w:rPr>
      </w:pPr>
      <w:r w:rsidRPr="004F1B05">
        <w:rPr>
          <w:rFonts w:ascii="Times New Roman" w:hAnsi="Times New Roman"/>
        </w:rPr>
        <w:t>In order to address widespread ecological resource threats and uncertainties amplified by a rapidly changing climate, the North Atlantic Landscape Conservation Cooperative (NALCC) pursues a set of common components and goals in the North Atlantic region.  One goal is set forth in the NALCC’s Vision, Mission and Goals statement as follows:</w:t>
      </w:r>
    </w:p>
    <w:p w:rsidR="00DC6598" w:rsidRPr="004F1B05" w:rsidRDefault="00DC6598" w:rsidP="00EF734A">
      <w:pPr>
        <w:ind w:left="720" w:right="720"/>
        <w:rPr>
          <w:rFonts w:ascii="Times New Roman" w:hAnsi="Times New Roman"/>
        </w:rPr>
      </w:pPr>
      <w:r w:rsidRPr="004F1B05">
        <w:rPr>
          <w:rFonts w:ascii="Times New Roman" w:hAnsi="Times New Roman"/>
          <w:u w:val="single"/>
        </w:rPr>
        <w:t>Demonstration Projects</w:t>
      </w:r>
      <w:r w:rsidRPr="004F1B05">
        <w:rPr>
          <w:rFonts w:ascii="Times New Roman" w:hAnsi="Times New Roman"/>
        </w:rPr>
        <w:t>: Support implementation actions designed to test, validate and improve scientific information and tools developed by the LCC to enhance the ability of our lands and waters to sustain fish, plant, cultural resources and unique ecosystems.</w:t>
      </w:r>
    </w:p>
    <w:p w:rsidR="00DC6598" w:rsidRPr="004F1B05" w:rsidRDefault="00DC6598" w:rsidP="00EF734A">
      <w:pPr>
        <w:rPr>
          <w:rFonts w:ascii="Times New Roman" w:hAnsi="Times New Roman"/>
        </w:rPr>
      </w:pPr>
      <w:r w:rsidRPr="004F1B05">
        <w:rPr>
          <w:rFonts w:ascii="Times New Roman" w:hAnsi="Times New Roman"/>
        </w:rPr>
        <w:t xml:space="preserve">The NALCC steering committee supports “on the ground” application of NALCC funded science via demonstration projects. These will provide examples of how we can apply NALCC science to facilitate the conservation of important ecological resources in the region. </w:t>
      </w:r>
    </w:p>
    <w:p w:rsidR="00DC6598" w:rsidRPr="004F1B05" w:rsidRDefault="00DC6598" w:rsidP="00EF734A">
      <w:pPr>
        <w:rPr>
          <w:rFonts w:ascii="Times New Roman" w:hAnsi="Times New Roman"/>
          <w:i/>
        </w:rPr>
      </w:pPr>
      <w:r w:rsidRPr="004F1B05">
        <w:rPr>
          <w:rFonts w:ascii="Times New Roman" w:hAnsi="Times New Roman"/>
          <w:i/>
        </w:rPr>
        <w:t xml:space="preserve">Moving Forward </w:t>
      </w:r>
    </w:p>
    <w:p w:rsidR="00DC6598" w:rsidRPr="004F1B05" w:rsidRDefault="00DC6598" w:rsidP="00EF734A">
      <w:pPr>
        <w:rPr>
          <w:rFonts w:ascii="Times New Roman" w:hAnsi="Times New Roman"/>
        </w:rPr>
      </w:pPr>
      <w:r w:rsidRPr="004F1B05">
        <w:rPr>
          <w:rFonts w:ascii="Times New Roman" w:hAnsi="Times New Roman"/>
        </w:rPr>
        <w:t>In November of last year, the NALCC</w:t>
      </w:r>
      <w:r w:rsidR="00C167AD" w:rsidRPr="004F1B05">
        <w:rPr>
          <w:rFonts w:ascii="Times New Roman" w:hAnsi="Times New Roman"/>
        </w:rPr>
        <w:t xml:space="preserve"> steering committee</w:t>
      </w:r>
      <w:r w:rsidRPr="004F1B05">
        <w:rPr>
          <w:rFonts w:ascii="Times New Roman" w:hAnsi="Times New Roman"/>
        </w:rPr>
        <w:t xml:space="preserve"> discussed this topic in detail.  Consensus points regarding the nature/purpose of a demonstration project included:  </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aligning with the Northeast Regional Conservation Framework</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facilitating science translation, adoption, and delivery, including utilization of LCC-funded science tools</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promoting multi-partner coordination at state and local levels</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aligning project selection process with science project selection process</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projects should make NALCC’s work “real and tangible” for our conservation partners</w:t>
      </w:r>
      <w:r w:rsidR="00384611" w:rsidRPr="004F1B05">
        <w:rPr>
          <w:rFonts w:ascii="Times New Roman" w:hAnsi="Times New Roman"/>
        </w:rPr>
        <w:t xml:space="preserve"> and other key audiences (e.g., municipalities, regional planning entities)</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projects should help develop feedback loops to inform and enhance underlying science</w:t>
      </w:r>
    </w:p>
    <w:p w:rsidR="00DC6598" w:rsidRPr="004F1B05" w:rsidRDefault="00DC6598" w:rsidP="00EF734A">
      <w:pPr>
        <w:pStyle w:val="ListParagraph"/>
        <w:numPr>
          <w:ilvl w:val="0"/>
          <w:numId w:val="2"/>
        </w:numPr>
        <w:rPr>
          <w:rFonts w:ascii="Times New Roman" w:hAnsi="Times New Roman"/>
        </w:rPr>
      </w:pPr>
      <w:r w:rsidRPr="004F1B05">
        <w:rPr>
          <w:rFonts w:ascii="Times New Roman" w:hAnsi="Times New Roman"/>
        </w:rPr>
        <w:t xml:space="preserve">projects should </w:t>
      </w:r>
      <w:r w:rsidR="00E4197C" w:rsidRPr="004F1B05">
        <w:rPr>
          <w:rFonts w:ascii="Times New Roman" w:hAnsi="Times New Roman"/>
        </w:rPr>
        <w:t>inform local conservation planning efforts, but not advocate predetermined regulatory approaches</w:t>
      </w:r>
    </w:p>
    <w:p w:rsidR="00DC6598" w:rsidRPr="004F1B05" w:rsidRDefault="00DC6598" w:rsidP="00EF734A">
      <w:pPr>
        <w:rPr>
          <w:rFonts w:ascii="Times New Roman" w:hAnsi="Times New Roman"/>
        </w:rPr>
      </w:pPr>
      <w:r w:rsidRPr="004F1B05">
        <w:rPr>
          <w:rFonts w:ascii="Times New Roman" w:hAnsi="Times New Roman"/>
        </w:rPr>
        <w:t xml:space="preserve">In light of the foregoing, NALCC staff directed the ad-hoc demonstration project subcommittee to identify and recommend several demonstration projects for the steering committee’s consideration at our spring meeting. </w:t>
      </w:r>
      <w:r w:rsidR="004E3847" w:rsidRPr="004F1B05">
        <w:rPr>
          <w:rFonts w:ascii="Times New Roman" w:hAnsi="Times New Roman"/>
        </w:rPr>
        <w:t xml:space="preserve"> The ad-hoc demonstration project subcommittee met on two occasions to address the matter.  This memorandum and the attached three project description is the result of the group’s work.  </w:t>
      </w:r>
    </w:p>
    <w:p w:rsidR="00DC6598" w:rsidRPr="004F1B05" w:rsidRDefault="00DC6598" w:rsidP="00EF734A">
      <w:pPr>
        <w:rPr>
          <w:rFonts w:ascii="Times New Roman" w:hAnsi="Times New Roman"/>
          <w:i/>
        </w:rPr>
      </w:pPr>
      <w:r w:rsidRPr="004F1B05">
        <w:rPr>
          <w:rFonts w:ascii="Times New Roman" w:hAnsi="Times New Roman"/>
          <w:i/>
        </w:rPr>
        <w:t>Evaluation Criteria</w:t>
      </w:r>
    </w:p>
    <w:p w:rsidR="00DC6598" w:rsidRPr="004F1B05" w:rsidRDefault="00DC6598" w:rsidP="00EF734A">
      <w:pPr>
        <w:rPr>
          <w:rFonts w:ascii="Times New Roman" w:hAnsi="Times New Roman"/>
        </w:rPr>
      </w:pPr>
      <w:r w:rsidRPr="004F1B05">
        <w:rPr>
          <w:rFonts w:ascii="Times New Roman" w:hAnsi="Times New Roman"/>
        </w:rPr>
        <w:lastRenderedPageBreak/>
        <w:t>Working from the input at the November steering committee meeting in Virginia Beach, the ad hoc committee developed the following criteria.  Demonstration projects recommended for NALCC funding should:</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occur at multiple scales (local, state, sub-regional and regional)</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engage a diversity of partners</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in the aggregate, represent a diversity of geographies or ecotypes</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support conservation planning, management, and/or restoration</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reduce potential for project redundancy</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 xml:space="preserve">leverage existing science, including </w:t>
      </w:r>
      <w:r w:rsidR="00E4197C" w:rsidRPr="004F1B05">
        <w:rPr>
          <w:rFonts w:ascii="Times New Roman" w:hAnsi="Times New Roman"/>
        </w:rPr>
        <w:t>NA</w:t>
      </w:r>
      <w:r w:rsidRPr="004F1B05">
        <w:rPr>
          <w:rFonts w:ascii="Times New Roman" w:hAnsi="Times New Roman"/>
        </w:rPr>
        <w:t>LCC-funded science products</w:t>
      </w:r>
    </w:p>
    <w:p w:rsidR="000268CE" w:rsidRPr="004F1B05" w:rsidRDefault="00DC6598" w:rsidP="00EF734A">
      <w:pPr>
        <w:pStyle w:val="ListParagraph"/>
        <w:numPr>
          <w:ilvl w:val="0"/>
          <w:numId w:val="3"/>
        </w:numPr>
        <w:rPr>
          <w:rFonts w:ascii="Times New Roman" w:hAnsi="Times New Roman"/>
        </w:rPr>
      </w:pPr>
      <w:r w:rsidRPr="004F1B05">
        <w:rPr>
          <w:rFonts w:ascii="Times New Roman" w:hAnsi="Times New Roman"/>
        </w:rPr>
        <w:t xml:space="preserve">illustrate how partners can utilize what the </w:t>
      </w:r>
      <w:r w:rsidR="00E4197C" w:rsidRPr="004F1B05">
        <w:rPr>
          <w:rFonts w:ascii="Times New Roman" w:hAnsi="Times New Roman"/>
        </w:rPr>
        <w:t>NA</w:t>
      </w:r>
      <w:r w:rsidRPr="004F1B05">
        <w:rPr>
          <w:rFonts w:ascii="Times New Roman" w:hAnsi="Times New Roman"/>
        </w:rPr>
        <w:t>LCC is producing</w:t>
      </w:r>
      <w:r w:rsidR="00E4197C" w:rsidRPr="004F1B05">
        <w:rPr>
          <w:rFonts w:ascii="Times New Roman" w:hAnsi="Times New Roman"/>
        </w:rPr>
        <w:t xml:space="preserve"> to inform, prioritize, and enhance tangible conservation efforts </w:t>
      </w:r>
      <w:bookmarkStart w:id="0" w:name="_GoBack"/>
      <w:bookmarkEnd w:id="0"/>
      <w:r w:rsidR="00E4197C" w:rsidRPr="004F1B05">
        <w:rPr>
          <w:rFonts w:ascii="Times New Roman" w:hAnsi="Times New Roman"/>
        </w:rPr>
        <w:t>of important ecological resources</w:t>
      </w:r>
    </w:p>
    <w:p w:rsidR="00DC6598" w:rsidRPr="004F1B05" w:rsidRDefault="00DC6598" w:rsidP="00EF734A">
      <w:pPr>
        <w:pStyle w:val="ListParagraph"/>
        <w:numPr>
          <w:ilvl w:val="0"/>
          <w:numId w:val="3"/>
        </w:numPr>
        <w:rPr>
          <w:rFonts w:ascii="Times New Roman" w:hAnsi="Times New Roman"/>
        </w:rPr>
      </w:pPr>
      <w:r w:rsidRPr="004F1B05">
        <w:rPr>
          <w:rFonts w:ascii="Times New Roman" w:hAnsi="Times New Roman"/>
        </w:rPr>
        <w:t>funds should be highly leveraged, providing a “catalytic spark” or “cap stone” for larger efforts</w:t>
      </w:r>
    </w:p>
    <w:p w:rsidR="009B0EAC" w:rsidRPr="004F1B05" w:rsidRDefault="009B0EAC" w:rsidP="00EF734A">
      <w:pPr>
        <w:pStyle w:val="ListParagraph"/>
        <w:numPr>
          <w:ilvl w:val="0"/>
          <w:numId w:val="2"/>
        </w:numPr>
        <w:rPr>
          <w:rFonts w:ascii="Times New Roman" w:hAnsi="Times New Roman"/>
        </w:rPr>
      </w:pPr>
      <w:r w:rsidRPr="004F1B05">
        <w:rPr>
          <w:rFonts w:ascii="Times New Roman" w:hAnsi="Times New Roman"/>
        </w:rPr>
        <w:t>demonstrate transferability to similar landscapes</w:t>
      </w:r>
    </w:p>
    <w:p w:rsidR="002917FA" w:rsidRPr="004F1B05" w:rsidRDefault="009B0EAC" w:rsidP="00EF734A">
      <w:pPr>
        <w:pStyle w:val="ListParagraph"/>
        <w:numPr>
          <w:ilvl w:val="0"/>
          <w:numId w:val="2"/>
        </w:numPr>
        <w:rPr>
          <w:rFonts w:ascii="Times New Roman" w:hAnsi="Times New Roman"/>
        </w:rPr>
      </w:pPr>
      <w:r w:rsidRPr="004F1B05">
        <w:rPr>
          <w:rFonts w:ascii="Times New Roman" w:hAnsi="Times New Roman"/>
        </w:rPr>
        <w:t>final reporting should detail lessons learned regarding applicability of NALCC related science to local conservation planning needs and whether or not the project achieved intended goals</w:t>
      </w:r>
    </w:p>
    <w:p w:rsidR="00DC6598" w:rsidRPr="004F1B05" w:rsidRDefault="00DC6598" w:rsidP="00EF734A">
      <w:pPr>
        <w:ind w:right="720"/>
        <w:rPr>
          <w:rFonts w:ascii="Times New Roman" w:hAnsi="Times New Roman"/>
          <w:i/>
        </w:rPr>
      </w:pPr>
      <w:r w:rsidRPr="004F1B05">
        <w:rPr>
          <w:rFonts w:ascii="Times New Roman" w:hAnsi="Times New Roman"/>
          <w:i/>
        </w:rPr>
        <w:t xml:space="preserve">Building the Process for Determining Annual Demonstration Project Support </w:t>
      </w:r>
    </w:p>
    <w:p w:rsidR="00DC6598" w:rsidRPr="004F1B05" w:rsidRDefault="00DC6598" w:rsidP="00EF734A">
      <w:pPr>
        <w:ind w:right="720"/>
        <w:rPr>
          <w:rFonts w:ascii="Times New Roman" w:hAnsi="Times New Roman"/>
        </w:rPr>
      </w:pPr>
      <w:r w:rsidRPr="004F1B05">
        <w:rPr>
          <w:rFonts w:ascii="Times New Roman" w:hAnsi="Times New Roman"/>
        </w:rPr>
        <w:t>Assessment of demonstration projects suitable for NALCC support should proceed in a transparent manner parallel with “science only” funding allocations on annual basis.  Like the first generation of science projects, these recommended demonstration projects emerged from internal discussions involving the subcommittee and staff.  The next generation of recommended demonstration projects will follow steps much like other NALCC steering committee processes utilized to refine/mature issues for consideration:</w:t>
      </w:r>
    </w:p>
    <w:p w:rsidR="00DC6598" w:rsidRPr="004F1B05" w:rsidRDefault="00DC6598" w:rsidP="00EF734A">
      <w:pPr>
        <w:pStyle w:val="ListParagraph"/>
        <w:numPr>
          <w:ilvl w:val="0"/>
          <w:numId w:val="5"/>
        </w:numPr>
        <w:ind w:left="720" w:right="720"/>
        <w:rPr>
          <w:rFonts w:ascii="Times New Roman" w:hAnsi="Times New Roman"/>
        </w:rPr>
      </w:pPr>
      <w:r w:rsidRPr="004F1B05">
        <w:rPr>
          <w:rFonts w:ascii="Times New Roman" w:hAnsi="Times New Roman"/>
        </w:rPr>
        <w:t>Subcommittee pursues an internal/external project recruitment strategy</w:t>
      </w:r>
    </w:p>
    <w:p w:rsidR="00DC6598" w:rsidRPr="004F1B05" w:rsidRDefault="00DC6598" w:rsidP="00EF734A">
      <w:pPr>
        <w:pStyle w:val="ListParagraph"/>
        <w:numPr>
          <w:ilvl w:val="0"/>
          <w:numId w:val="5"/>
        </w:numPr>
        <w:ind w:left="720" w:right="720"/>
        <w:rPr>
          <w:rFonts w:ascii="Times New Roman" w:hAnsi="Times New Roman"/>
        </w:rPr>
      </w:pPr>
      <w:r w:rsidRPr="004F1B05">
        <w:rPr>
          <w:rFonts w:ascii="Times New Roman" w:hAnsi="Times New Roman"/>
        </w:rPr>
        <w:t>Submitted projects are ranked by the subcommittee in accordance with foregoing criteria</w:t>
      </w:r>
    </w:p>
    <w:p w:rsidR="009B0EAC" w:rsidRPr="004F1B05" w:rsidRDefault="009B0EAC" w:rsidP="00EF734A">
      <w:pPr>
        <w:pStyle w:val="ListParagraph"/>
        <w:numPr>
          <w:ilvl w:val="0"/>
          <w:numId w:val="5"/>
        </w:numPr>
        <w:ind w:left="720" w:right="720"/>
        <w:rPr>
          <w:rFonts w:ascii="Times New Roman" w:hAnsi="Times New Roman"/>
        </w:rPr>
      </w:pPr>
      <w:r w:rsidRPr="004F1B05">
        <w:rPr>
          <w:rFonts w:ascii="Times New Roman" w:hAnsi="Times New Roman"/>
        </w:rPr>
        <w:t>Submitted projects are individually scored in a fashion consistent with procedures utilized by the LCC technical committees and based on stated evaluation criteria</w:t>
      </w:r>
    </w:p>
    <w:p w:rsidR="00DC6598" w:rsidRPr="004F1B05" w:rsidRDefault="00DC6598" w:rsidP="00EF734A">
      <w:pPr>
        <w:pStyle w:val="ListParagraph"/>
        <w:numPr>
          <w:ilvl w:val="0"/>
          <w:numId w:val="5"/>
        </w:numPr>
        <w:ind w:left="720" w:right="720"/>
        <w:rPr>
          <w:rFonts w:ascii="Times New Roman" w:hAnsi="Times New Roman"/>
        </w:rPr>
      </w:pPr>
      <w:r w:rsidRPr="004F1B05">
        <w:rPr>
          <w:rFonts w:ascii="Times New Roman" w:hAnsi="Times New Roman"/>
        </w:rPr>
        <w:t>Subcommittee decision-making process is open to all steering committee members</w:t>
      </w:r>
    </w:p>
    <w:p w:rsidR="004F1B05" w:rsidRPr="004F1B05" w:rsidRDefault="00DC6598" w:rsidP="00EF734A">
      <w:pPr>
        <w:pStyle w:val="ListParagraph"/>
        <w:numPr>
          <w:ilvl w:val="0"/>
          <w:numId w:val="5"/>
        </w:numPr>
        <w:ind w:left="720" w:right="720"/>
        <w:rPr>
          <w:rFonts w:ascii="Times New Roman" w:hAnsi="Times New Roman"/>
        </w:rPr>
      </w:pPr>
      <w:r w:rsidRPr="004F1B05">
        <w:rPr>
          <w:rFonts w:ascii="Times New Roman" w:hAnsi="Times New Roman"/>
        </w:rPr>
        <w:t xml:space="preserve">Subcommittee recommends suitable demonstration projects to Steering Committee for its consideration at same time the “science only” projects are determined   </w:t>
      </w:r>
    </w:p>
    <w:p w:rsidR="00DC6598" w:rsidRPr="004F1B05" w:rsidRDefault="00DC6598" w:rsidP="00EF734A">
      <w:pPr>
        <w:ind w:right="720"/>
        <w:rPr>
          <w:rFonts w:ascii="Times New Roman" w:hAnsi="Times New Roman"/>
          <w:i/>
        </w:rPr>
      </w:pPr>
      <w:r w:rsidRPr="004F1B05">
        <w:rPr>
          <w:rFonts w:ascii="Times New Roman" w:hAnsi="Times New Roman"/>
          <w:i/>
        </w:rPr>
        <w:t>Conclusion</w:t>
      </w:r>
    </w:p>
    <w:p w:rsidR="00DC6598" w:rsidRPr="004F1B05" w:rsidRDefault="00DC6598" w:rsidP="00EF734A">
      <w:pPr>
        <w:ind w:right="720"/>
        <w:rPr>
          <w:rFonts w:ascii="Times New Roman" w:hAnsi="Times New Roman"/>
        </w:rPr>
      </w:pPr>
      <w:r w:rsidRPr="004F1B05">
        <w:rPr>
          <w:rFonts w:ascii="Times New Roman" w:hAnsi="Times New Roman"/>
        </w:rPr>
        <w:t xml:space="preserve">Demonstration projects provide an efficient way to test, improve, and promote utilization of NALCC science.  The projects will showcase NALCC science and leverage its value by providing resources for partners to integrate these science products into natural resource conservation on the landscape scale.  We recommend the following suite of demonstration projects for funding in 2012.  The total amount of funding suggested </w:t>
      </w:r>
      <w:r w:rsidR="00C167AD" w:rsidRPr="004F1B05">
        <w:rPr>
          <w:rFonts w:ascii="Times New Roman" w:hAnsi="Times New Roman"/>
        </w:rPr>
        <w:t xml:space="preserve">in FY 12 </w:t>
      </w:r>
      <w:r w:rsidRPr="004F1B05">
        <w:rPr>
          <w:rFonts w:ascii="Times New Roman" w:hAnsi="Times New Roman"/>
        </w:rPr>
        <w:t>is $60,000</w:t>
      </w:r>
      <w:r w:rsidR="00E4197C" w:rsidRPr="004F1B05">
        <w:rPr>
          <w:rFonts w:ascii="Times New Roman" w:hAnsi="Times New Roman"/>
        </w:rPr>
        <w:t>, proposed to be split evenly among the three recommended projects.</w:t>
      </w:r>
    </w:p>
    <w:sectPr w:rsidR="00DC6598" w:rsidRPr="004F1B05" w:rsidSect="00BE4DA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2F" w:rsidRDefault="009F4A2F" w:rsidP="009F4A2F">
      <w:pPr>
        <w:spacing w:after="0" w:line="240" w:lineRule="auto"/>
      </w:pPr>
      <w:r>
        <w:separator/>
      </w:r>
    </w:p>
  </w:endnote>
  <w:endnote w:type="continuationSeparator" w:id="0">
    <w:p w:rsidR="009F4A2F" w:rsidRDefault="009F4A2F" w:rsidP="009F4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2F" w:rsidRDefault="009F4A2F" w:rsidP="009F4A2F">
      <w:pPr>
        <w:spacing w:after="0" w:line="240" w:lineRule="auto"/>
      </w:pPr>
      <w:r>
        <w:separator/>
      </w:r>
    </w:p>
  </w:footnote>
  <w:footnote w:type="continuationSeparator" w:id="0">
    <w:p w:rsidR="009F4A2F" w:rsidRDefault="009F4A2F" w:rsidP="009F4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2F" w:rsidRDefault="009F4A2F">
    <w:pPr>
      <w:pStyle w:val="Header"/>
    </w:pPr>
    <w:r>
      <w:t>Handout 14a</w:t>
    </w:r>
  </w:p>
  <w:p w:rsidR="009F4A2F" w:rsidRDefault="009F4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05D4"/>
    <w:multiLevelType w:val="hybridMultilevel"/>
    <w:tmpl w:val="AA5406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7C186D"/>
    <w:multiLevelType w:val="hybridMultilevel"/>
    <w:tmpl w:val="8A16D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04716"/>
    <w:multiLevelType w:val="hybridMultilevel"/>
    <w:tmpl w:val="9E70ACC4"/>
    <w:lvl w:ilvl="0" w:tplc="0409000F">
      <w:start w:val="1"/>
      <w:numFmt w:val="decimal"/>
      <w:lvlText w:val="%1."/>
      <w:lvlJc w:val="left"/>
      <w:pPr>
        <w:ind w:left="758" w:hanging="360"/>
      </w:pPr>
      <w:rPr>
        <w:rFonts w:cs="Times New Roman"/>
      </w:rPr>
    </w:lvl>
    <w:lvl w:ilvl="1" w:tplc="04090019" w:tentative="1">
      <w:start w:val="1"/>
      <w:numFmt w:val="lowerLetter"/>
      <w:lvlText w:val="%2."/>
      <w:lvlJc w:val="left"/>
      <w:pPr>
        <w:ind w:left="1478" w:hanging="360"/>
      </w:pPr>
      <w:rPr>
        <w:rFonts w:cs="Times New Roman"/>
      </w:rPr>
    </w:lvl>
    <w:lvl w:ilvl="2" w:tplc="0409001B" w:tentative="1">
      <w:start w:val="1"/>
      <w:numFmt w:val="lowerRoman"/>
      <w:lvlText w:val="%3."/>
      <w:lvlJc w:val="right"/>
      <w:pPr>
        <w:ind w:left="2198" w:hanging="180"/>
      </w:pPr>
      <w:rPr>
        <w:rFonts w:cs="Times New Roman"/>
      </w:rPr>
    </w:lvl>
    <w:lvl w:ilvl="3" w:tplc="0409000F" w:tentative="1">
      <w:start w:val="1"/>
      <w:numFmt w:val="decimal"/>
      <w:lvlText w:val="%4."/>
      <w:lvlJc w:val="left"/>
      <w:pPr>
        <w:ind w:left="2918" w:hanging="360"/>
      </w:pPr>
      <w:rPr>
        <w:rFonts w:cs="Times New Roman"/>
      </w:rPr>
    </w:lvl>
    <w:lvl w:ilvl="4" w:tplc="04090019" w:tentative="1">
      <w:start w:val="1"/>
      <w:numFmt w:val="lowerLetter"/>
      <w:lvlText w:val="%5."/>
      <w:lvlJc w:val="left"/>
      <w:pPr>
        <w:ind w:left="3638" w:hanging="360"/>
      </w:pPr>
      <w:rPr>
        <w:rFonts w:cs="Times New Roman"/>
      </w:rPr>
    </w:lvl>
    <w:lvl w:ilvl="5" w:tplc="0409001B" w:tentative="1">
      <w:start w:val="1"/>
      <w:numFmt w:val="lowerRoman"/>
      <w:lvlText w:val="%6."/>
      <w:lvlJc w:val="right"/>
      <w:pPr>
        <w:ind w:left="4358" w:hanging="180"/>
      </w:pPr>
      <w:rPr>
        <w:rFonts w:cs="Times New Roman"/>
      </w:rPr>
    </w:lvl>
    <w:lvl w:ilvl="6" w:tplc="0409000F" w:tentative="1">
      <w:start w:val="1"/>
      <w:numFmt w:val="decimal"/>
      <w:lvlText w:val="%7."/>
      <w:lvlJc w:val="left"/>
      <w:pPr>
        <w:ind w:left="5078" w:hanging="360"/>
      </w:pPr>
      <w:rPr>
        <w:rFonts w:cs="Times New Roman"/>
      </w:rPr>
    </w:lvl>
    <w:lvl w:ilvl="7" w:tplc="04090019" w:tentative="1">
      <w:start w:val="1"/>
      <w:numFmt w:val="lowerLetter"/>
      <w:lvlText w:val="%8."/>
      <w:lvlJc w:val="left"/>
      <w:pPr>
        <w:ind w:left="5798" w:hanging="360"/>
      </w:pPr>
      <w:rPr>
        <w:rFonts w:cs="Times New Roman"/>
      </w:rPr>
    </w:lvl>
    <w:lvl w:ilvl="8" w:tplc="0409001B" w:tentative="1">
      <w:start w:val="1"/>
      <w:numFmt w:val="lowerRoman"/>
      <w:lvlText w:val="%9."/>
      <w:lvlJc w:val="right"/>
      <w:pPr>
        <w:ind w:left="6518" w:hanging="180"/>
      </w:pPr>
      <w:rPr>
        <w:rFonts w:cs="Times New Roman"/>
      </w:rPr>
    </w:lvl>
  </w:abstractNum>
  <w:abstractNum w:abstractNumId="3">
    <w:nsid w:val="57510000"/>
    <w:multiLevelType w:val="hybridMultilevel"/>
    <w:tmpl w:val="66B6F3F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6CB9331C"/>
    <w:multiLevelType w:val="hybridMultilevel"/>
    <w:tmpl w:val="F842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07B"/>
    <w:rsid w:val="000268CE"/>
    <w:rsid w:val="000276C8"/>
    <w:rsid w:val="00060411"/>
    <w:rsid w:val="000764F6"/>
    <w:rsid w:val="000C1E8C"/>
    <w:rsid w:val="000E207B"/>
    <w:rsid w:val="00144F87"/>
    <w:rsid w:val="00147497"/>
    <w:rsid w:val="00150660"/>
    <w:rsid w:val="00180C33"/>
    <w:rsid w:val="001B54FC"/>
    <w:rsid w:val="001E26EF"/>
    <w:rsid w:val="00210DE5"/>
    <w:rsid w:val="00256D6D"/>
    <w:rsid w:val="00275673"/>
    <w:rsid w:val="002917FA"/>
    <w:rsid w:val="002A62BE"/>
    <w:rsid w:val="00303421"/>
    <w:rsid w:val="003051C1"/>
    <w:rsid w:val="00322183"/>
    <w:rsid w:val="00344AB4"/>
    <w:rsid w:val="00360155"/>
    <w:rsid w:val="00384611"/>
    <w:rsid w:val="003846EC"/>
    <w:rsid w:val="00384D35"/>
    <w:rsid w:val="003E5B83"/>
    <w:rsid w:val="003F2BB8"/>
    <w:rsid w:val="004103F0"/>
    <w:rsid w:val="00453140"/>
    <w:rsid w:val="004771CA"/>
    <w:rsid w:val="004E3847"/>
    <w:rsid w:val="004F1B05"/>
    <w:rsid w:val="005011AD"/>
    <w:rsid w:val="0054238A"/>
    <w:rsid w:val="005503BA"/>
    <w:rsid w:val="005625AE"/>
    <w:rsid w:val="00565E2D"/>
    <w:rsid w:val="005677E9"/>
    <w:rsid w:val="00584049"/>
    <w:rsid w:val="005900F9"/>
    <w:rsid w:val="005A6056"/>
    <w:rsid w:val="005A7877"/>
    <w:rsid w:val="005B1367"/>
    <w:rsid w:val="005C25AC"/>
    <w:rsid w:val="005E50A0"/>
    <w:rsid w:val="00602964"/>
    <w:rsid w:val="00630676"/>
    <w:rsid w:val="00690AF0"/>
    <w:rsid w:val="006B2798"/>
    <w:rsid w:val="006C44C0"/>
    <w:rsid w:val="00760087"/>
    <w:rsid w:val="00762869"/>
    <w:rsid w:val="007820C5"/>
    <w:rsid w:val="0078577F"/>
    <w:rsid w:val="007D0B98"/>
    <w:rsid w:val="007D5011"/>
    <w:rsid w:val="0085057A"/>
    <w:rsid w:val="00857740"/>
    <w:rsid w:val="008928F6"/>
    <w:rsid w:val="0089439C"/>
    <w:rsid w:val="008B590C"/>
    <w:rsid w:val="008F5D23"/>
    <w:rsid w:val="00933847"/>
    <w:rsid w:val="0099059C"/>
    <w:rsid w:val="009B0EAC"/>
    <w:rsid w:val="009B65FB"/>
    <w:rsid w:val="009F4A2F"/>
    <w:rsid w:val="00A0196F"/>
    <w:rsid w:val="00A307F6"/>
    <w:rsid w:val="00A37196"/>
    <w:rsid w:val="00AB0F9A"/>
    <w:rsid w:val="00AD0AEF"/>
    <w:rsid w:val="00AF6CD0"/>
    <w:rsid w:val="00B00F73"/>
    <w:rsid w:val="00B01B4E"/>
    <w:rsid w:val="00B44507"/>
    <w:rsid w:val="00BE4DAC"/>
    <w:rsid w:val="00C0429A"/>
    <w:rsid w:val="00C06686"/>
    <w:rsid w:val="00C167AD"/>
    <w:rsid w:val="00C3231E"/>
    <w:rsid w:val="00C8700F"/>
    <w:rsid w:val="00CC1E89"/>
    <w:rsid w:val="00CD5CC1"/>
    <w:rsid w:val="00CE34AE"/>
    <w:rsid w:val="00D31E57"/>
    <w:rsid w:val="00D3406B"/>
    <w:rsid w:val="00DA01E0"/>
    <w:rsid w:val="00DA10AA"/>
    <w:rsid w:val="00DC6598"/>
    <w:rsid w:val="00DE3F5B"/>
    <w:rsid w:val="00DF0ABF"/>
    <w:rsid w:val="00E2594A"/>
    <w:rsid w:val="00E342F9"/>
    <w:rsid w:val="00E4197C"/>
    <w:rsid w:val="00E615D4"/>
    <w:rsid w:val="00EB44B4"/>
    <w:rsid w:val="00EE512D"/>
    <w:rsid w:val="00EF734A"/>
    <w:rsid w:val="00F56201"/>
    <w:rsid w:val="00F67A89"/>
    <w:rsid w:val="00FD329C"/>
    <w:rsid w:val="00FF3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4F87"/>
    <w:pPr>
      <w:ind w:left="720"/>
      <w:contextualSpacing/>
    </w:pPr>
  </w:style>
  <w:style w:type="paragraph" w:styleId="BalloonText">
    <w:name w:val="Balloon Text"/>
    <w:basedOn w:val="Normal"/>
    <w:link w:val="BalloonTextChar"/>
    <w:uiPriority w:val="99"/>
    <w:semiHidden/>
    <w:rsid w:val="002756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59C"/>
    <w:rPr>
      <w:rFonts w:ascii="Times New Roman" w:hAnsi="Times New Roman" w:cs="Times New Roman"/>
      <w:sz w:val="2"/>
    </w:rPr>
  </w:style>
  <w:style w:type="character" w:styleId="CommentReference">
    <w:name w:val="annotation reference"/>
    <w:basedOn w:val="DefaultParagraphFont"/>
    <w:uiPriority w:val="99"/>
    <w:semiHidden/>
    <w:rsid w:val="006B2798"/>
    <w:rPr>
      <w:rFonts w:cs="Times New Roman"/>
      <w:sz w:val="16"/>
      <w:szCs w:val="16"/>
    </w:rPr>
  </w:style>
  <w:style w:type="paragraph" w:styleId="CommentText">
    <w:name w:val="annotation text"/>
    <w:basedOn w:val="Normal"/>
    <w:link w:val="CommentTextChar"/>
    <w:uiPriority w:val="99"/>
    <w:semiHidden/>
    <w:rsid w:val="006B2798"/>
    <w:rPr>
      <w:sz w:val="20"/>
      <w:szCs w:val="20"/>
    </w:rPr>
  </w:style>
  <w:style w:type="character" w:customStyle="1" w:styleId="CommentTextChar">
    <w:name w:val="Comment Text Char"/>
    <w:basedOn w:val="DefaultParagraphFont"/>
    <w:link w:val="CommentText"/>
    <w:uiPriority w:val="99"/>
    <w:semiHidden/>
    <w:rsid w:val="00115A20"/>
    <w:rPr>
      <w:sz w:val="20"/>
      <w:szCs w:val="20"/>
    </w:rPr>
  </w:style>
  <w:style w:type="paragraph" w:styleId="CommentSubject">
    <w:name w:val="annotation subject"/>
    <w:basedOn w:val="CommentText"/>
    <w:next w:val="CommentText"/>
    <w:link w:val="CommentSubjectChar"/>
    <w:uiPriority w:val="99"/>
    <w:semiHidden/>
    <w:rsid w:val="006B2798"/>
    <w:rPr>
      <w:b/>
      <w:bCs/>
    </w:rPr>
  </w:style>
  <w:style w:type="character" w:customStyle="1" w:styleId="CommentSubjectChar">
    <w:name w:val="Comment Subject Char"/>
    <w:basedOn w:val="CommentTextChar"/>
    <w:link w:val="CommentSubject"/>
    <w:uiPriority w:val="99"/>
    <w:semiHidden/>
    <w:rsid w:val="00115A20"/>
    <w:rPr>
      <w:b/>
      <w:bCs/>
    </w:rPr>
  </w:style>
  <w:style w:type="paragraph" w:styleId="Header">
    <w:name w:val="header"/>
    <w:basedOn w:val="Normal"/>
    <w:link w:val="HeaderChar"/>
    <w:uiPriority w:val="99"/>
    <w:unhideWhenUsed/>
    <w:rsid w:val="009F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2F"/>
  </w:style>
  <w:style w:type="paragraph" w:styleId="Footer">
    <w:name w:val="footer"/>
    <w:basedOn w:val="Normal"/>
    <w:link w:val="FooterChar"/>
    <w:uiPriority w:val="99"/>
    <w:semiHidden/>
    <w:unhideWhenUsed/>
    <w:rsid w:val="009F4A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A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 // Draft</vt:lpstr>
    </vt:vector>
  </TitlesOfParts>
  <Company>National Wildlife Federation</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Draft</dc:title>
  <dc:subject/>
  <dc:creator>GayG</dc:creator>
  <cp:keywords/>
  <dc:description/>
  <cp:lastModifiedBy>amilliken</cp:lastModifiedBy>
  <cp:revision>3</cp:revision>
  <dcterms:created xsi:type="dcterms:W3CDTF">2012-04-13T01:11:00Z</dcterms:created>
  <dcterms:modified xsi:type="dcterms:W3CDTF">2012-04-13T20:21:00Z</dcterms:modified>
</cp:coreProperties>
</file>