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C16" w:rsidRPr="00183C16" w:rsidRDefault="00183C16" w:rsidP="00183C16">
      <w:pPr>
        <w:spacing w:before="240" w:after="120" w:line="240" w:lineRule="auto"/>
        <w:outlineLvl w:val="0"/>
        <w:rPr>
          <w:rFonts w:ascii="Times New Roman" w:hAnsi="Times New Roman" w:cs="Times New Roman"/>
          <w:b/>
          <w:sz w:val="40"/>
          <w:szCs w:val="40"/>
        </w:rPr>
      </w:pPr>
      <w:bookmarkStart w:id="0" w:name="_Toc275519269"/>
      <w:bookmarkStart w:id="1" w:name="_GoBack"/>
      <w:bookmarkEnd w:id="1"/>
      <w:r w:rsidRPr="00183C16">
        <w:rPr>
          <w:rFonts w:ascii="Times New Roman" w:hAnsi="Times New Roman" w:cs="Times New Roman"/>
          <w:b/>
          <w:sz w:val="40"/>
          <w:szCs w:val="40"/>
        </w:rPr>
        <w:t>Report for the Department of the Interior</w:t>
      </w:r>
      <w:bookmarkEnd w:id="0"/>
    </w:p>
    <w:p w:rsidR="00183C16" w:rsidRPr="00183C16" w:rsidRDefault="00183C16" w:rsidP="00183C16">
      <w:pPr>
        <w:spacing w:before="240" w:after="120" w:line="240" w:lineRule="auto"/>
        <w:outlineLvl w:val="0"/>
        <w:rPr>
          <w:rFonts w:ascii="Times New Roman" w:hAnsi="Times New Roman" w:cs="Times New Roman"/>
          <w:b/>
          <w:sz w:val="40"/>
          <w:szCs w:val="40"/>
        </w:rPr>
      </w:pPr>
      <w:bookmarkStart w:id="2" w:name="_Toc275519270"/>
      <w:r w:rsidRPr="00183C16">
        <w:rPr>
          <w:rFonts w:ascii="Times New Roman" w:hAnsi="Times New Roman" w:cs="Times New Roman"/>
          <w:b/>
          <w:sz w:val="40"/>
          <w:szCs w:val="40"/>
        </w:rPr>
        <w:t>Recommendations for assessing improvements in coastal resilience from projects within the DOI Hurricane Sandy Mitigation and Resiliency Program</w:t>
      </w:r>
      <w:bookmarkEnd w:id="2"/>
      <w:r w:rsidRPr="00183C16">
        <w:rPr>
          <w:rFonts w:ascii="Times New Roman" w:hAnsi="Times New Roman" w:cs="Times New Roman"/>
          <w:b/>
          <w:sz w:val="40"/>
          <w:szCs w:val="40"/>
        </w:rPr>
        <w:t xml:space="preserve">  </w:t>
      </w:r>
    </w:p>
    <w:p w:rsidR="00183C16" w:rsidRPr="00183C16" w:rsidRDefault="00183C16" w:rsidP="00183C16">
      <w:pPr>
        <w:rPr>
          <w:rFonts w:ascii="Times New Roman" w:hAnsi="Times New Roman" w:cs="Times New Roman"/>
          <w:sz w:val="24"/>
          <w:szCs w:val="24"/>
        </w:rPr>
      </w:pPr>
    </w:p>
    <w:p w:rsidR="00183C16" w:rsidRPr="00183C16" w:rsidRDefault="00183C16" w:rsidP="00183C16">
      <w:pPr>
        <w:rPr>
          <w:rFonts w:ascii="Times New Roman" w:hAnsi="Times New Roman" w:cs="Times New Roman"/>
          <w:sz w:val="24"/>
          <w:szCs w:val="24"/>
        </w:rPr>
      </w:pPr>
      <w:r w:rsidRPr="00183C16">
        <w:rPr>
          <w:rFonts w:ascii="Times New Roman" w:hAnsi="Times New Roman" w:cs="Times New Roman"/>
          <w:sz w:val="24"/>
          <w:szCs w:val="24"/>
        </w:rPr>
        <w:t>The Department of the Interior Metrics Expert Group</w:t>
      </w:r>
    </w:p>
    <w:p w:rsidR="00183C16" w:rsidRPr="00183C16" w:rsidRDefault="00183C16" w:rsidP="00183C16">
      <w:pPr>
        <w:rPr>
          <w:rFonts w:ascii="Times New Roman" w:hAnsi="Times New Roman" w:cs="Times New Roman"/>
          <w:sz w:val="24"/>
          <w:szCs w:val="24"/>
        </w:rPr>
      </w:pPr>
      <w:r w:rsidRPr="00183C16">
        <w:rPr>
          <w:rFonts w:ascii="Times New Roman" w:hAnsi="Times New Roman" w:cs="Times New Roman"/>
          <w:sz w:val="24"/>
          <w:szCs w:val="24"/>
        </w:rPr>
        <w:t>October 21, 2014</w:t>
      </w:r>
    </w:p>
    <w:p w:rsidR="00183C16" w:rsidRPr="00183C16" w:rsidRDefault="00183C16" w:rsidP="00183C16">
      <w:pPr>
        <w:rPr>
          <w:rFonts w:ascii="Times New Roman" w:hAnsi="Times New Roman" w:cs="Times New Roman"/>
          <w:sz w:val="24"/>
          <w:szCs w:val="24"/>
        </w:rPr>
      </w:pPr>
    </w:p>
    <w:p w:rsidR="00183C16" w:rsidRPr="00183C16" w:rsidRDefault="00183C16" w:rsidP="00183C16">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183C16">
        <w:rPr>
          <w:rFonts w:asciiTheme="majorHAnsi" w:eastAsiaTheme="majorEastAsia" w:hAnsiTheme="majorHAnsi" w:cstheme="majorBidi"/>
          <w:b/>
          <w:bCs/>
          <w:color w:val="365F91" w:themeColor="accent1" w:themeShade="BF"/>
          <w:sz w:val="28"/>
          <w:szCs w:val="28"/>
          <w:lang w:eastAsia="ja-JP"/>
        </w:rPr>
        <w:br w:type="page"/>
      </w:r>
    </w:p>
    <w:sdt>
      <w:sdtPr>
        <w:rPr>
          <w:rFonts w:ascii="Times New Roman" w:hAnsi="Times New Roman" w:cs="Times New Roman"/>
          <w:sz w:val="24"/>
          <w:szCs w:val="24"/>
        </w:rPr>
        <w:id w:val="1755166389"/>
        <w:docPartObj>
          <w:docPartGallery w:val="Table of Contents"/>
          <w:docPartUnique/>
        </w:docPartObj>
      </w:sdtPr>
      <w:sdtEndPr>
        <w:rPr>
          <w:noProof/>
        </w:rPr>
      </w:sdtEndPr>
      <w:sdtContent>
        <w:p w:rsidR="00183C16" w:rsidRPr="00183C16" w:rsidRDefault="00183C16" w:rsidP="00183C16">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183C16">
            <w:rPr>
              <w:rFonts w:asciiTheme="majorHAnsi" w:eastAsiaTheme="majorEastAsia" w:hAnsiTheme="majorHAnsi" w:cstheme="majorBidi"/>
              <w:b/>
              <w:bCs/>
              <w:color w:val="365F91" w:themeColor="accent1" w:themeShade="BF"/>
              <w:sz w:val="28"/>
              <w:szCs w:val="28"/>
              <w:lang w:eastAsia="ja-JP"/>
            </w:rPr>
            <w:t>Contents</w:t>
          </w:r>
        </w:p>
        <w:p w:rsidR="00183C16" w:rsidRPr="00183C16" w:rsidRDefault="00183C16" w:rsidP="00183C16">
          <w:pPr>
            <w:tabs>
              <w:tab w:val="right" w:leader="dot" w:pos="9350"/>
            </w:tabs>
            <w:spacing w:after="100" w:line="240" w:lineRule="auto"/>
            <w:rPr>
              <w:rFonts w:eastAsiaTheme="minorEastAsia"/>
              <w:noProof/>
              <w:sz w:val="24"/>
              <w:szCs w:val="24"/>
              <w:lang w:eastAsia="ja-JP"/>
            </w:rPr>
          </w:pPr>
          <w:r w:rsidRPr="00183C16">
            <w:rPr>
              <w:rFonts w:ascii="Times New Roman" w:hAnsi="Times New Roman" w:cs="Times New Roman"/>
              <w:sz w:val="24"/>
              <w:szCs w:val="24"/>
            </w:rPr>
            <w:fldChar w:fldCharType="begin"/>
          </w:r>
          <w:r w:rsidRPr="00183C16">
            <w:rPr>
              <w:rFonts w:ascii="Times New Roman" w:hAnsi="Times New Roman" w:cs="Times New Roman"/>
              <w:sz w:val="24"/>
              <w:szCs w:val="24"/>
            </w:rPr>
            <w:instrText xml:space="preserve"> TOC \o "1-3" \h \z \u </w:instrText>
          </w:r>
          <w:r w:rsidRPr="00183C16">
            <w:rPr>
              <w:rFonts w:ascii="Times New Roman" w:hAnsi="Times New Roman" w:cs="Times New Roman"/>
              <w:sz w:val="24"/>
              <w:szCs w:val="24"/>
            </w:rPr>
            <w:fldChar w:fldCharType="separate"/>
          </w:r>
          <w:r w:rsidRPr="00183C16">
            <w:rPr>
              <w:rFonts w:ascii="Times New Roman" w:hAnsi="Times New Roman" w:cs="Times New Roman"/>
              <w:noProof/>
              <w:sz w:val="24"/>
              <w:szCs w:val="24"/>
            </w:rPr>
            <w:t>Report for the Department of the Interior</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_Toc275519269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rPr>
              <w:rFonts w:eastAsiaTheme="minorEastAsia"/>
              <w:noProof/>
              <w:sz w:val="24"/>
              <w:szCs w:val="24"/>
              <w:lang w:eastAsia="ja-JP"/>
            </w:rPr>
          </w:pPr>
          <w:r w:rsidRPr="00183C16">
            <w:rPr>
              <w:rFonts w:ascii="Times New Roman" w:hAnsi="Times New Roman" w:cs="Times New Roman"/>
              <w:noProof/>
              <w:sz w:val="24"/>
              <w:szCs w:val="24"/>
            </w:rPr>
            <w:t>Recommendations for assessing improvements in coastal resilience from projects within the DOI Hurricane Sandy Mitigation and Resiliency Program</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_Toc275519270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240"/>
            <w:rPr>
              <w:rFonts w:eastAsiaTheme="minorEastAsia"/>
              <w:noProof/>
              <w:sz w:val="24"/>
              <w:szCs w:val="24"/>
              <w:lang w:eastAsia="ja-JP"/>
            </w:rPr>
          </w:pPr>
          <w:r w:rsidRPr="00183C16">
            <w:rPr>
              <w:rFonts w:ascii="Times New Roman" w:hAnsi="Times New Roman" w:cs="Times New Roman"/>
              <w:noProof/>
              <w:sz w:val="24"/>
              <w:szCs w:val="24"/>
            </w:rPr>
            <w:t>Purpose of the DOI-Assessment:</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_Toc275519271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4</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The DOI Assessment Process: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_Toc275519272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5</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Integration with other Federal resilience programs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_Toc275519273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6</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240"/>
            <w:rPr>
              <w:rFonts w:eastAsiaTheme="minorEastAsia"/>
              <w:noProof/>
              <w:sz w:val="24"/>
              <w:szCs w:val="24"/>
              <w:lang w:eastAsia="ja-JP"/>
            </w:rPr>
          </w:pPr>
          <w:r w:rsidRPr="00183C16">
            <w:rPr>
              <w:rFonts w:ascii="Times New Roman" w:hAnsi="Times New Roman" w:cs="Times New Roman"/>
              <w:noProof/>
              <w:sz w:val="24"/>
              <w:szCs w:val="24"/>
            </w:rPr>
            <w:t>Scoping the problem:</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_Toc275519274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6</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Setting the DMEG goals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_Toc275519275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8</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Definitions of resilience:</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_Toc275519276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8</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Providing answers within the assessment timeframe</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_Toc275519277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10</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240"/>
            <w:rPr>
              <w:rFonts w:eastAsiaTheme="minorEastAsia"/>
              <w:noProof/>
              <w:sz w:val="24"/>
              <w:szCs w:val="24"/>
              <w:lang w:eastAsia="ja-JP"/>
            </w:rPr>
          </w:pPr>
          <w:r w:rsidRPr="00183C16">
            <w:rPr>
              <w:rFonts w:ascii="Times New Roman" w:hAnsi="Times New Roman" w:cs="Times New Roman"/>
              <w:noProof/>
              <w:sz w:val="24"/>
              <w:szCs w:val="24"/>
            </w:rPr>
            <w:t>The DMEG strategy for sorting the DOI projects and selecting metrics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_Toc275519278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11</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Defining broad systems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_Toc275519279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12</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Developing sub-systems for sorting the Hurricane Sandy projects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_Toc275519280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12</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Special consideration of socio- economic metrics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_Toc275519281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13</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Explanation of the project metrics table</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_Toc275519282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14</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240"/>
            <w:rPr>
              <w:rFonts w:eastAsiaTheme="minorEastAsia"/>
              <w:noProof/>
              <w:sz w:val="24"/>
              <w:szCs w:val="24"/>
              <w:lang w:eastAsia="ja-JP"/>
            </w:rPr>
          </w:pPr>
          <w:r w:rsidRPr="00183C16">
            <w:rPr>
              <w:rFonts w:ascii="Times New Roman" w:hAnsi="Times New Roman" w:cs="Times New Roman"/>
              <w:noProof/>
              <w:sz w:val="24"/>
              <w:szCs w:val="24"/>
            </w:rPr>
            <w:t>Assessing whole-system changes in resilience</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_Toc275519283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14</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Integrating projects for regional scale synthesis: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_Toc275519284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17</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240"/>
            <w:rPr>
              <w:rFonts w:eastAsiaTheme="minorEastAsia"/>
              <w:noProof/>
              <w:sz w:val="24"/>
              <w:szCs w:val="24"/>
              <w:lang w:eastAsia="ja-JP"/>
            </w:rPr>
          </w:pPr>
          <w:r w:rsidRPr="00183C16">
            <w:rPr>
              <w:rFonts w:ascii="Times New Roman" w:hAnsi="Times New Roman" w:cs="Times New Roman"/>
              <w:noProof/>
              <w:sz w:val="24"/>
              <w:szCs w:val="24"/>
            </w:rPr>
            <w:t>Recommendations for post-assessment monitoring</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_Toc275519285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18</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240"/>
            <w:rPr>
              <w:rFonts w:eastAsiaTheme="minorEastAsia"/>
              <w:noProof/>
              <w:sz w:val="24"/>
              <w:szCs w:val="24"/>
              <w:lang w:eastAsia="ja-JP"/>
            </w:rPr>
          </w:pPr>
          <w:r w:rsidRPr="00183C16">
            <w:rPr>
              <w:rFonts w:ascii="Times New Roman" w:hAnsi="Times New Roman" w:cs="Times New Roman"/>
              <w:noProof/>
              <w:sz w:val="24"/>
              <w:szCs w:val="24"/>
            </w:rPr>
            <w:t>Information management</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_Toc275519286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18</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240"/>
            <w:rPr>
              <w:rFonts w:eastAsiaTheme="minorEastAsia"/>
              <w:noProof/>
              <w:sz w:val="24"/>
              <w:szCs w:val="24"/>
              <w:lang w:eastAsia="ja-JP"/>
            </w:rPr>
          </w:pPr>
          <w:r w:rsidRPr="00183C16">
            <w:rPr>
              <w:rFonts w:ascii="Times New Roman" w:hAnsi="Times New Roman" w:cs="Times New Roman"/>
              <w:noProof/>
              <w:sz w:val="24"/>
              <w:szCs w:val="24"/>
            </w:rPr>
            <w:t>Next Steps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_Toc275519287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19</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240"/>
            <w:rPr>
              <w:rFonts w:eastAsiaTheme="minorEastAsia"/>
              <w:noProof/>
              <w:sz w:val="24"/>
              <w:szCs w:val="24"/>
              <w:lang w:eastAsia="ja-JP"/>
            </w:rPr>
          </w:pPr>
          <w:r w:rsidRPr="00183C16">
            <w:rPr>
              <w:rFonts w:ascii="Times New Roman" w:hAnsi="Times New Roman" w:cs="Times New Roman"/>
              <w:noProof/>
              <w:sz w:val="24"/>
              <w:szCs w:val="24"/>
            </w:rPr>
            <w:t>Appendices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_Toc275519288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22</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A: Members of the DOI Metrics Experts Group</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_Toc275519289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22</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B:  Definitions Required in Setting Metrics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_Toc275519290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22</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C: Table of core metrics selected by coastal feature</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_Toc275519291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23</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D: Table of projects with recommended Metrics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_Toc275519292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23</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E: Table of projects metadata</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_Toc275519293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23</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F:  The Metrics Selection Process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_Toc275519294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23</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G: Examples of research projects needed for preparing the assessment</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_Toc275519295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25</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H: Recommendations for a “Request For Proposals” in support of the DOI Resilience Assessment</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_Toc275519296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31</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I:  Summary of the DMEG recommendations for Assessing Coastal Resilience</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_Toc275519297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32</w:t>
          </w:r>
          <w:r w:rsidRPr="00183C16">
            <w:rPr>
              <w:rFonts w:ascii="Times New Roman" w:hAnsi="Times New Roman" w:cs="Times New Roman"/>
              <w:noProof/>
              <w:sz w:val="24"/>
              <w:szCs w:val="24"/>
            </w:rPr>
            <w:fldChar w:fldCharType="end"/>
          </w:r>
        </w:p>
        <w:p w:rsidR="00183C16" w:rsidRPr="00183C16" w:rsidRDefault="00183C16" w:rsidP="00183C16">
          <w:pPr>
            <w:tabs>
              <w:tab w:val="right" w:leader="dot" w:pos="9350"/>
            </w:tabs>
            <w:spacing w:after="100" w:line="240" w:lineRule="auto"/>
            <w:ind w:left="480"/>
            <w:rPr>
              <w:rFonts w:eastAsiaTheme="minorEastAsia"/>
              <w:noProof/>
              <w:sz w:val="24"/>
              <w:szCs w:val="24"/>
              <w:lang w:eastAsia="ja-JP"/>
            </w:rPr>
          </w:pPr>
          <w:r w:rsidRPr="00183C16">
            <w:rPr>
              <w:rFonts w:ascii="Times New Roman" w:hAnsi="Times New Roman" w:cs="Times New Roman"/>
              <w:noProof/>
              <w:sz w:val="24"/>
              <w:szCs w:val="24"/>
            </w:rPr>
            <w:t>Appendix J: References</w:t>
          </w:r>
          <w:r w:rsidRPr="00183C16">
            <w:rPr>
              <w:rFonts w:ascii="Times New Roman" w:hAnsi="Times New Roman" w:cs="Times New Roman"/>
              <w:noProof/>
              <w:sz w:val="24"/>
              <w:szCs w:val="24"/>
            </w:rPr>
            <w:tab/>
          </w:r>
          <w:r w:rsidRPr="00183C16">
            <w:rPr>
              <w:rFonts w:ascii="Times New Roman" w:hAnsi="Times New Roman" w:cs="Times New Roman"/>
              <w:noProof/>
              <w:sz w:val="24"/>
              <w:szCs w:val="24"/>
            </w:rPr>
            <w:fldChar w:fldCharType="begin"/>
          </w:r>
          <w:r w:rsidRPr="00183C16">
            <w:rPr>
              <w:rFonts w:ascii="Times New Roman" w:hAnsi="Times New Roman" w:cs="Times New Roman"/>
              <w:noProof/>
              <w:sz w:val="24"/>
              <w:szCs w:val="24"/>
            </w:rPr>
            <w:instrText xml:space="preserve"> PAGEREF _Toc275519298 \h </w:instrText>
          </w:r>
          <w:r w:rsidRPr="00183C16">
            <w:rPr>
              <w:rFonts w:ascii="Times New Roman" w:hAnsi="Times New Roman" w:cs="Times New Roman"/>
              <w:noProof/>
              <w:sz w:val="24"/>
              <w:szCs w:val="24"/>
            </w:rPr>
          </w:r>
          <w:r w:rsidRPr="00183C16">
            <w:rPr>
              <w:rFonts w:ascii="Times New Roman" w:hAnsi="Times New Roman" w:cs="Times New Roman"/>
              <w:noProof/>
              <w:sz w:val="24"/>
              <w:szCs w:val="24"/>
            </w:rPr>
            <w:fldChar w:fldCharType="separate"/>
          </w:r>
          <w:r w:rsidRPr="00183C16">
            <w:rPr>
              <w:rFonts w:ascii="Times New Roman" w:hAnsi="Times New Roman" w:cs="Times New Roman"/>
              <w:noProof/>
              <w:sz w:val="24"/>
              <w:szCs w:val="24"/>
            </w:rPr>
            <w:t>39</w:t>
          </w:r>
          <w:r w:rsidRPr="00183C16">
            <w:rPr>
              <w:rFonts w:ascii="Times New Roman" w:hAnsi="Times New Roman" w:cs="Times New Roman"/>
              <w:noProof/>
              <w:sz w:val="24"/>
              <w:szCs w:val="24"/>
            </w:rPr>
            <w:fldChar w:fldCharType="end"/>
          </w:r>
        </w:p>
        <w:p w:rsidR="00183C16" w:rsidRPr="00183C16" w:rsidRDefault="00183C16" w:rsidP="00183C16">
          <w:pPr>
            <w:spacing w:after="120" w:line="240" w:lineRule="auto"/>
            <w:rPr>
              <w:rFonts w:ascii="Times New Roman" w:hAnsi="Times New Roman" w:cs="Times New Roman"/>
              <w:noProof/>
              <w:sz w:val="24"/>
              <w:szCs w:val="24"/>
            </w:rPr>
          </w:pPr>
          <w:r w:rsidRPr="00183C16">
            <w:rPr>
              <w:rFonts w:ascii="Times New Roman" w:hAnsi="Times New Roman" w:cs="Times New Roman"/>
              <w:b/>
              <w:bCs/>
              <w:noProof/>
              <w:sz w:val="24"/>
              <w:szCs w:val="24"/>
            </w:rPr>
            <w:fldChar w:fldCharType="end"/>
          </w:r>
        </w:p>
      </w:sdtContent>
    </w:sdt>
    <w:p w:rsidR="00183C16" w:rsidRPr="00183C16" w:rsidRDefault="00183C16" w:rsidP="00183C16">
      <w:pPr>
        <w:spacing w:after="120" w:line="240" w:lineRule="auto"/>
        <w:rPr>
          <w:rFonts w:ascii="Times New Roman" w:hAnsi="Times New Roman" w:cs="Times New Roman"/>
          <w:sz w:val="24"/>
          <w:szCs w:val="24"/>
        </w:rPr>
      </w:pPr>
      <w:r w:rsidRPr="00183C16">
        <w:rPr>
          <w:rFonts w:ascii="Times New Roman" w:hAnsi="Times New Roman" w:cs="Times New Roman"/>
          <w:sz w:val="24"/>
          <w:szCs w:val="24"/>
        </w:rPr>
        <w:t>Introduction:</w:t>
      </w:r>
    </w:p>
    <w:p w:rsidR="00183C16" w:rsidRPr="00183C16" w:rsidRDefault="00183C16" w:rsidP="00183C16">
      <w:pPr>
        <w:spacing w:after="120" w:line="240" w:lineRule="auto"/>
        <w:rPr>
          <w:rFonts w:ascii="Times New Roman" w:eastAsia="Times New Roman" w:hAnsi="Times New Roman" w:cs="Times New Roman"/>
          <w:color w:val="222222"/>
          <w:sz w:val="24"/>
          <w:szCs w:val="24"/>
          <w:shd w:val="clear" w:color="auto" w:fill="FFFFFF"/>
        </w:rPr>
      </w:pPr>
      <w:r w:rsidRPr="00183C16">
        <w:rPr>
          <w:rFonts w:ascii="Times New Roman" w:hAnsi="Times New Roman" w:cs="Times New Roman"/>
          <w:color w:val="222222"/>
          <w:sz w:val="24"/>
          <w:szCs w:val="24"/>
          <w:shd w:val="clear" w:color="auto" w:fill="FFFFFF"/>
        </w:rPr>
        <w:lastRenderedPageBreak/>
        <w:t xml:space="preserve">Through the Disaster Relief Appropriations Act of 2013 (P.L. 113-2), Congress </w:t>
      </w:r>
      <w:r w:rsidRPr="00183C16">
        <w:rPr>
          <w:rFonts w:ascii="Times New Roman" w:eastAsia="Times New Roman" w:hAnsi="Times New Roman" w:cs="Times New Roman"/>
          <w:color w:val="000000"/>
          <w:sz w:val="24"/>
          <w:szCs w:val="24"/>
        </w:rPr>
        <w:t xml:space="preserve">appropriated $829 million ($786.7 after sequestration) for the Department of the Interior </w:t>
      </w:r>
      <w:r w:rsidRPr="00183C16">
        <w:rPr>
          <w:rFonts w:ascii="Times New Roman" w:hAnsi="Times New Roman" w:cs="Times New Roman"/>
          <w:color w:val="222222"/>
          <w:sz w:val="24"/>
          <w:szCs w:val="24"/>
          <w:shd w:val="clear" w:color="auto" w:fill="FFFFFF"/>
        </w:rPr>
        <w:t xml:space="preserve">(DOI, the Department) </w:t>
      </w:r>
      <w:r w:rsidRPr="00183C16">
        <w:rPr>
          <w:rFonts w:ascii="Times New Roman" w:eastAsia="Times New Roman" w:hAnsi="Times New Roman" w:cs="Times New Roman"/>
          <w:color w:val="000000"/>
          <w:sz w:val="24"/>
          <w:szCs w:val="24"/>
        </w:rPr>
        <w:t xml:space="preserve">and its bureaus to address impacts from Hurricane Sandy. </w:t>
      </w:r>
      <w:r w:rsidRPr="00183C16">
        <w:rPr>
          <w:rFonts w:ascii="Times New Roman" w:hAnsi="Times New Roman" w:cs="Times New Roman"/>
          <w:color w:val="222222"/>
          <w:sz w:val="24"/>
          <w:szCs w:val="24"/>
          <w:shd w:val="clear" w:color="auto" w:fill="FFFFFF"/>
        </w:rPr>
        <w:t>With these funds,   DOI initiated</w:t>
      </w:r>
      <w:r w:rsidRPr="00183C16">
        <w:rPr>
          <w:rFonts w:ascii="Times New Roman" w:eastAsia="Times New Roman" w:hAnsi="Times New Roman" w:cs="Times New Roman"/>
          <w:color w:val="222222"/>
          <w:sz w:val="24"/>
          <w:szCs w:val="24"/>
          <w:shd w:val="clear" w:color="auto" w:fill="FFFFFF"/>
        </w:rPr>
        <w:t xml:space="preserve"> nearly 150 restoration, mitigation, and science projects within the coastal region of the Northeastern U.S. </w:t>
      </w:r>
      <w:r w:rsidRPr="00183C16">
        <w:rPr>
          <w:rFonts w:ascii="Times New Roman" w:hAnsi="Times New Roman" w:cs="Times New Roman"/>
          <w:sz w:val="24"/>
          <w:szCs w:val="24"/>
        </w:rPr>
        <w:t>(Figure 1)</w:t>
      </w:r>
      <w:r w:rsidRPr="00183C16">
        <w:rPr>
          <w:rFonts w:ascii="Times New Roman" w:eastAsia="Times New Roman" w:hAnsi="Times New Roman" w:cs="Times New Roman"/>
          <w:color w:val="222222"/>
          <w:sz w:val="24"/>
          <w:szCs w:val="24"/>
          <w:shd w:val="clear" w:color="auto" w:fill="FFFFFF"/>
        </w:rPr>
        <w:t xml:space="preserve">. With these funds, </w:t>
      </w:r>
      <w:r w:rsidRPr="00183C16">
        <w:rPr>
          <w:rFonts w:ascii="Times New Roman" w:hAnsi="Times New Roman" w:cs="Times New Roman"/>
          <w:color w:val="222222"/>
          <w:sz w:val="24"/>
          <w:szCs w:val="24"/>
          <w:shd w:val="clear" w:color="auto" w:fill="FFFFFF"/>
        </w:rPr>
        <w:t>DOI initiated</w:t>
      </w:r>
      <w:r w:rsidRPr="00183C16">
        <w:rPr>
          <w:rFonts w:ascii="Times New Roman" w:eastAsia="Times New Roman" w:hAnsi="Times New Roman" w:cs="Times New Roman"/>
          <w:color w:val="222222"/>
          <w:sz w:val="24"/>
          <w:szCs w:val="24"/>
          <w:shd w:val="clear" w:color="auto" w:fill="FFFFFF"/>
        </w:rPr>
        <w:t xml:space="preserve"> nearly 150 restoration, mitigation, and science projects within the coastal region of the Northeastern U.S(Figure 1). The goals of the DOI program were to (a) restore and rebuild national parks, national wildlife refuges, and other Federal public assets in the wake of Hurricane Sandy, (b) increase the resiliency and capacity of coastal habitat and communities to withstand storms and reduce the amount of damage caused by such storms, and (c) improve the ability of our coastal communities and ecosystems to maintain critical system functions that are valuable to stakeholders. Assessing the effectiveness of these projects, individually or as a group, at improving the resiliency of the Northeast coast was not part of the original planning for the DOI program.  However, this assessment will be essential for developing best practices, determining gaps in knowledge, sustaining or enhancing the improvements in coastal resilience created by the project activity, and communicating the effective use of tax dollars to the American people.  The goal of this report is to provide guidance on how DOI could establish an assessment process for both (a) assessing the effectiveness of the funded projects on building coastal resilience and (b) translating that project-based assessment into a an assessment of changes in resilience throughout the northeast coast. </w:t>
      </w:r>
      <w:r w:rsidRPr="00183C16">
        <w:rPr>
          <w:rFonts w:ascii="Times New Roman" w:hAnsi="Times New Roman" w:cs="Times New Roman"/>
          <w:sz w:val="24"/>
          <w:szCs w:val="24"/>
        </w:rPr>
        <w:t>The assessment will include setting common measures or metrics, implementing monitoring and modeling as needed to apply those metrics as the DOI projects proceed, and synthesizing the monitoring and modeling results in a comprehensive assessment of resilience improvements in the Northeastern U.S.</w:t>
      </w:r>
    </w:p>
    <w:p w:rsidR="00183C16" w:rsidRPr="00183C16" w:rsidRDefault="00183C16" w:rsidP="00183C16">
      <w:pPr>
        <w:spacing w:after="120" w:line="240" w:lineRule="auto"/>
        <w:rPr>
          <w:rFonts w:ascii="Times New Roman" w:eastAsia="Times New Roman" w:hAnsi="Times New Roman" w:cs="Times New Roman"/>
          <w:color w:val="222222"/>
          <w:sz w:val="24"/>
          <w:szCs w:val="24"/>
          <w:shd w:val="clear" w:color="auto" w:fill="FFFFFF"/>
        </w:rPr>
      </w:pPr>
      <w:r w:rsidRPr="00183C16">
        <w:rPr>
          <w:rFonts w:ascii="Times New Roman" w:eastAsia="Times New Roman" w:hAnsi="Times New Roman" w:cs="Times New Roman"/>
          <w:color w:val="222222"/>
          <w:sz w:val="24"/>
          <w:szCs w:val="24"/>
          <w:shd w:val="clear" w:color="auto" w:fill="FFFFFF"/>
        </w:rPr>
        <w:t>The first challenge the Department faces in measuring project effectiveness is to define and establish a suite of metrics that can detect changes in ecosystem and community resilience resulting from project activity.  These measurements of the effectiveness of DOI investments are needed  at both the local project scale and the larger sub-regional or regional scales.  Measurements are important for all DOI-sponsored projects addressing coastal resiliency, including both Bureau-based projects and the non-Federal projects funded through a DOI partnership with the National Fish and Wildlife Foundation (NFWF).  </w:t>
      </w:r>
    </w:p>
    <w:p w:rsidR="00183C16" w:rsidRPr="00183C16" w:rsidRDefault="00183C16" w:rsidP="00183C16">
      <w:pPr>
        <w:spacing w:after="120" w:line="240" w:lineRule="auto"/>
        <w:rPr>
          <w:rFonts w:ascii="Times New Roman" w:hAnsi="Times New Roman" w:cs="Times New Roman"/>
          <w:sz w:val="24"/>
          <w:szCs w:val="24"/>
        </w:rPr>
      </w:pPr>
      <w:r w:rsidRPr="00183C16">
        <w:rPr>
          <w:rFonts w:ascii="Times New Roman" w:hAnsi="Times New Roman" w:cs="Times New Roman"/>
          <w:sz w:val="24"/>
          <w:szCs w:val="24"/>
        </w:rPr>
        <w:t xml:space="preserve">To address this challenge, in July 2014 the Department of Interior Leadership team for the Hurricane Sandy Supplemental Funding Program convened a team of physical science, ecosystem science, and socio-economic experts (the DOI Metrics Expert Group: DMEG) to garner advice on selecting metrics needed to conduct an effective assessment of the DOI efforts at improving coastal resilience.   </w:t>
      </w:r>
      <w:r w:rsidRPr="00183C16">
        <w:rPr>
          <w:rFonts w:ascii="Times New Roman" w:hAnsi="Times New Roman" w:cstheme="minorHAnsi"/>
          <w:sz w:val="24"/>
          <w:szCs w:val="24"/>
        </w:rPr>
        <w:t xml:space="preserve">This report describes the conclusions and recommendations of the team DMEG.  </w:t>
      </w:r>
      <w:r w:rsidRPr="00183C16">
        <w:rPr>
          <w:rFonts w:ascii="Times New Roman" w:hAnsi="Times New Roman" w:cs="Times New Roman"/>
          <w:sz w:val="24"/>
          <w:szCs w:val="24"/>
        </w:rPr>
        <w:t xml:space="preserve">The resulting recommendations are highlighted in bold text throughout this report, and are summarized in an Appendix I for quick referencing in future discussions of the DOI program. </w:t>
      </w:r>
    </w:p>
    <w:p w:rsidR="00183C16" w:rsidRPr="00183C16" w:rsidRDefault="00183C16" w:rsidP="00183C16">
      <w:pPr>
        <w:keepNext/>
        <w:keepLines/>
        <w:spacing w:before="200" w:after="0" w:line="240" w:lineRule="auto"/>
        <w:outlineLvl w:val="1"/>
        <w:rPr>
          <w:rFonts w:asciiTheme="majorHAnsi" w:eastAsiaTheme="majorEastAsia" w:hAnsiTheme="majorHAnsi" w:cstheme="majorBidi"/>
          <w:b/>
          <w:bCs/>
          <w:color w:val="4F81BD" w:themeColor="accent1"/>
          <w:sz w:val="26"/>
          <w:szCs w:val="26"/>
        </w:rPr>
      </w:pPr>
      <w:r w:rsidRPr="00183C16">
        <w:rPr>
          <w:rFonts w:asciiTheme="majorHAnsi" w:eastAsiaTheme="majorEastAsia" w:hAnsiTheme="majorHAnsi" w:cstheme="majorBidi"/>
          <w:b/>
          <w:bCs/>
          <w:noProof/>
          <w:color w:val="4F81BD" w:themeColor="accent1"/>
          <w:sz w:val="26"/>
          <w:szCs w:val="26"/>
        </w:rPr>
        <w:drawing>
          <wp:inline distT="0" distB="0" distL="0" distR="0" wp14:anchorId="1E4884CE" wp14:editId="5F1B8A6E">
            <wp:extent cx="4705350" cy="608930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yCR_f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5350" cy="6089306"/>
                    </a:xfrm>
                    <a:prstGeom prst="rect">
                      <a:avLst/>
                    </a:prstGeom>
                  </pic:spPr>
                </pic:pic>
              </a:graphicData>
            </a:graphic>
          </wp:inline>
        </w:drawing>
      </w:r>
    </w:p>
    <w:p w:rsidR="00183C16" w:rsidRPr="00183C16" w:rsidRDefault="00183C16" w:rsidP="00183C16">
      <w:pPr>
        <w:spacing w:after="120" w:line="240" w:lineRule="auto"/>
        <w:rPr>
          <w:rFonts w:ascii="Times New Roman" w:hAnsi="Times New Roman" w:cs="Times New Roman"/>
          <w:i/>
          <w:sz w:val="24"/>
          <w:szCs w:val="24"/>
        </w:rPr>
      </w:pPr>
      <w:r w:rsidRPr="00183C16">
        <w:rPr>
          <w:rFonts w:ascii="Times New Roman" w:hAnsi="Times New Roman" w:cs="Times New Roman"/>
          <w:i/>
          <w:sz w:val="24"/>
          <w:szCs w:val="24"/>
        </w:rPr>
        <w:t>Figure 1:  Map of the Northeast United States coastal region, illustrating the centroids of project footprints for the DOI Hurricane Sandy projects overseen by USGS, NPS, FWS (green dots and rectangles), and NFWF (yellow dots).</w:t>
      </w:r>
    </w:p>
    <w:p w:rsidR="008F7EBD" w:rsidRDefault="006755D6"/>
    <w:sectPr w:rsidR="008F7EB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C16" w:rsidRDefault="00183C16" w:rsidP="00183C16">
      <w:pPr>
        <w:spacing w:after="0" w:line="240" w:lineRule="auto"/>
      </w:pPr>
      <w:r>
        <w:separator/>
      </w:r>
    </w:p>
  </w:endnote>
  <w:endnote w:type="continuationSeparator" w:id="0">
    <w:p w:rsidR="00183C16" w:rsidRDefault="00183C16" w:rsidP="00183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C16" w:rsidRDefault="00183C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C16" w:rsidRDefault="00183C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C16" w:rsidRDefault="00183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C16" w:rsidRDefault="00183C16" w:rsidP="00183C16">
      <w:pPr>
        <w:spacing w:after="0" w:line="240" w:lineRule="auto"/>
      </w:pPr>
      <w:r>
        <w:separator/>
      </w:r>
    </w:p>
  </w:footnote>
  <w:footnote w:type="continuationSeparator" w:id="0">
    <w:p w:rsidR="00183C16" w:rsidRDefault="00183C16" w:rsidP="00183C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C16" w:rsidRDefault="00183C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366903"/>
      <w:docPartObj>
        <w:docPartGallery w:val="Watermarks"/>
        <w:docPartUnique/>
      </w:docPartObj>
    </w:sdtPr>
    <w:sdtEndPr/>
    <w:sdtContent>
      <w:p w:rsidR="00183C16" w:rsidRDefault="006755D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C16" w:rsidRDefault="00183C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16"/>
    <w:rsid w:val="00183C16"/>
    <w:rsid w:val="006755D6"/>
    <w:rsid w:val="00821792"/>
    <w:rsid w:val="00DA0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C16"/>
    <w:rPr>
      <w:rFonts w:ascii="Tahoma" w:hAnsi="Tahoma" w:cs="Tahoma"/>
      <w:sz w:val="16"/>
      <w:szCs w:val="16"/>
    </w:rPr>
  </w:style>
  <w:style w:type="paragraph" w:styleId="Header">
    <w:name w:val="header"/>
    <w:basedOn w:val="Normal"/>
    <w:link w:val="HeaderChar"/>
    <w:uiPriority w:val="99"/>
    <w:unhideWhenUsed/>
    <w:rsid w:val="00183C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C16"/>
  </w:style>
  <w:style w:type="paragraph" w:styleId="Footer">
    <w:name w:val="footer"/>
    <w:basedOn w:val="Normal"/>
    <w:link w:val="FooterChar"/>
    <w:uiPriority w:val="99"/>
    <w:unhideWhenUsed/>
    <w:rsid w:val="00183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C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C16"/>
    <w:rPr>
      <w:rFonts w:ascii="Tahoma" w:hAnsi="Tahoma" w:cs="Tahoma"/>
      <w:sz w:val="16"/>
      <w:szCs w:val="16"/>
    </w:rPr>
  </w:style>
  <w:style w:type="paragraph" w:styleId="Header">
    <w:name w:val="header"/>
    <w:basedOn w:val="Normal"/>
    <w:link w:val="HeaderChar"/>
    <w:uiPriority w:val="99"/>
    <w:unhideWhenUsed/>
    <w:rsid w:val="00183C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C16"/>
  </w:style>
  <w:style w:type="paragraph" w:styleId="Footer">
    <w:name w:val="footer"/>
    <w:basedOn w:val="Normal"/>
    <w:link w:val="FooterChar"/>
    <w:uiPriority w:val="99"/>
    <w:unhideWhenUsed/>
    <w:rsid w:val="00183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U.S. Fish and Wildlife Service - Region 5</Company>
  <LinksUpToDate>false</LinksUpToDate>
  <CharactersWithSpaces>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Milliken, Andrew</cp:lastModifiedBy>
  <cp:revision>2</cp:revision>
  <dcterms:created xsi:type="dcterms:W3CDTF">2014-10-27T19:55:00Z</dcterms:created>
  <dcterms:modified xsi:type="dcterms:W3CDTF">2014-10-27T19:55:00Z</dcterms:modified>
</cp:coreProperties>
</file>